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ADC26" w14:textId="77777777" w:rsidR="00894798" w:rsidRPr="00894798" w:rsidRDefault="00894798" w:rsidP="0089479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894798">
        <w:rPr>
          <w:rFonts w:ascii="Arial" w:eastAsia="Calibri" w:hAnsi="Arial" w:cs="Arial"/>
          <w:b/>
          <w:bCs/>
          <w:sz w:val="24"/>
          <w:szCs w:val="24"/>
        </w:rPr>
        <w:t xml:space="preserve">OBRAZLOŽENJE </w:t>
      </w:r>
    </w:p>
    <w:p w14:paraId="4C2C6D61" w14:textId="77777777" w:rsidR="00894798" w:rsidRPr="00894798" w:rsidRDefault="00894798" w:rsidP="00894798">
      <w:pPr>
        <w:jc w:val="center"/>
        <w:rPr>
          <w:rFonts w:ascii="Arial" w:eastAsia="Calibri" w:hAnsi="Arial" w:cs="Arial"/>
          <w:b/>
          <w:bCs/>
        </w:rPr>
      </w:pPr>
      <w:r w:rsidRPr="00894798">
        <w:rPr>
          <w:rFonts w:ascii="Arial" w:eastAsia="Calibri" w:hAnsi="Arial" w:cs="Arial"/>
          <w:b/>
          <w:bCs/>
        </w:rPr>
        <w:t>UZ I. IZMJENE I DOPUNE PRORAČUNA OPĆINE NETRETIĆ ZA 2022. GODINU</w:t>
      </w:r>
    </w:p>
    <w:p w14:paraId="5F6CF854" w14:textId="77777777" w:rsidR="00894798" w:rsidRPr="00894798" w:rsidRDefault="00894798" w:rsidP="00894798">
      <w:pPr>
        <w:tabs>
          <w:tab w:val="left" w:pos="1230"/>
        </w:tabs>
        <w:spacing w:after="0"/>
        <w:rPr>
          <w:rFonts w:ascii="Arial" w:eastAsia="Calibri" w:hAnsi="Arial" w:cs="Arial"/>
          <w:b/>
          <w:bCs/>
        </w:rPr>
      </w:pPr>
    </w:p>
    <w:p w14:paraId="727FA367" w14:textId="77777777" w:rsidR="00894798" w:rsidRPr="00894798" w:rsidRDefault="00894798" w:rsidP="00894798">
      <w:pPr>
        <w:tabs>
          <w:tab w:val="left" w:pos="1230"/>
        </w:tabs>
        <w:rPr>
          <w:rFonts w:ascii="Arial" w:eastAsia="Calibri" w:hAnsi="Arial" w:cs="Arial"/>
          <w:b/>
          <w:bCs/>
        </w:rPr>
      </w:pPr>
      <w:r w:rsidRPr="00894798">
        <w:rPr>
          <w:rFonts w:ascii="Arial" w:eastAsia="Calibri" w:hAnsi="Arial" w:cs="Arial"/>
          <w:b/>
          <w:bCs/>
        </w:rPr>
        <w:t>OPĆI DIO</w:t>
      </w:r>
    </w:p>
    <w:p w14:paraId="25AC8E0C" w14:textId="77777777" w:rsidR="00894798" w:rsidRPr="00894798" w:rsidRDefault="00894798" w:rsidP="00894798">
      <w:pPr>
        <w:tabs>
          <w:tab w:val="left" w:pos="709"/>
        </w:tabs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 xml:space="preserve">             Prihodi i primici Proračuna Općine Netretić za 2022. godinu planirani su u iznosu od 11.146.700,00 kuna i to kako slijedi:</w:t>
      </w:r>
    </w:p>
    <w:p w14:paraId="67D21DED" w14:textId="77777777" w:rsidR="00894798" w:rsidRPr="00894798" w:rsidRDefault="00894798" w:rsidP="00894798">
      <w:pPr>
        <w:pStyle w:val="crtice"/>
      </w:pPr>
      <w:r w:rsidRPr="00894798">
        <w:t>611 Porez i prireza na dohodak</w:t>
      </w:r>
      <w:r w:rsidRPr="00894798">
        <w:tab/>
        <w:t>3.261.140,11 kn</w:t>
      </w:r>
    </w:p>
    <w:p w14:paraId="02D2F673" w14:textId="77777777" w:rsidR="00894798" w:rsidRPr="00894798" w:rsidRDefault="00894798" w:rsidP="00894798">
      <w:pPr>
        <w:pStyle w:val="crtice"/>
      </w:pPr>
      <w:r w:rsidRPr="00894798">
        <w:t>613 Porezi na imovinu</w:t>
      </w:r>
      <w:r w:rsidRPr="00894798">
        <w:tab/>
        <w:t>350.000,00 kn</w:t>
      </w:r>
    </w:p>
    <w:p w14:paraId="72455C16" w14:textId="77777777" w:rsidR="00894798" w:rsidRPr="00894798" w:rsidRDefault="00894798" w:rsidP="00894798">
      <w:pPr>
        <w:numPr>
          <w:ilvl w:val="0"/>
          <w:numId w:val="2"/>
        </w:numPr>
        <w:tabs>
          <w:tab w:val="left" w:pos="709"/>
          <w:tab w:val="right" w:pos="8505"/>
        </w:tabs>
        <w:spacing w:after="0" w:line="360" w:lineRule="auto"/>
        <w:contextualSpacing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>614 Porezi na robu i usluge</w:t>
      </w:r>
      <w:r w:rsidRPr="00894798">
        <w:rPr>
          <w:rFonts w:ascii="Arial" w:eastAsia="Calibri" w:hAnsi="Arial" w:cs="Arial"/>
        </w:rPr>
        <w:tab/>
        <w:t xml:space="preserve">100.000,00 kn </w:t>
      </w:r>
    </w:p>
    <w:p w14:paraId="69EAAEAE" w14:textId="77777777" w:rsidR="00894798" w:rsidRPr="00894798" w:rsidRDefault="00894798" w:rsidP="00894798">
      <w:pPr>
        <w:numPr>
          <w:ilvl w:val="0"/>
          <w:numId w:val="2"/>
        </w:numPr>
        <w:tabs>
          <w:tab w:val="left" w:pos="709"/>
          <w:tab w:val="right" w:pos="8505"/>
        </w:tabs>
        <w:spacing w:after="0" w:line="360" w:lineRule="auto"/>
        <w:contextualSpacing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>633 Pomoći iz proračuna</w:t>
      </w:r>
      <w:r w:rsidRPr="00894798">
        <w:rPr>
          <w:rFonts w:ascii="Arial" w:eastAsia="Calibri" w:hAnsi="Arial" w:cs="Arial"/>
        </w:rPr>
        <w:tab/>
        <w:t xml:space="preserve">                           4.162.300,00 kn</w:t>
      </w:r>
    </w:p>
    <w:p w14:paraId="6B3C2F56" w14:textId="77777777" w:rsidR="00894798" w:rsidRPr="00894798" w:rsidRDefault="00894798" w:rsidP="00894798">
      <w:pPr>
        <w:numPr>
          <w:ilvl w:val="0"/>
          <w:numId w:val="2"/>
        </w:numPr>
        <w:tabs>
          <w:tab w:val="left" w:pos="709"/>
          <w:tab w:val="right" w:pos="8505"/>
        </w:tabs>
        <w:spacing w:after="0" w:line="360" w:lineRule="auto"/>
        <w:contextualSpacing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>634 Pomoći od izvanproračunskih korisnika</w:t>
      </w:r>
      <w:r w:rsidRPr="00894798">
        <w:rPr>
          <w:rFonts w:ascii="Arial" w:eastAsia="Calibri" w:hAnsi="Arial" w:cs="Arial"/>
        </w:rPr>
        <w:tab/>
        <w:t xml:space="preserve">    35.000,00 kn</w:t>
      </w:r>
    </w:p>
    <w:p w14:paraId="7EF0E62E" w14:textId="77777777" w:rsidR="00894798" w:rsidRPr="00894798" w:rsidRDefault="00894798" w:rsidP="00894798">
      <w:pPr>
        <w:numPr>
          <w:ilvl w:val="0"/>
          <w:numId w:val="2"/>
        </w:numPr>
        <w:tabs>
          <w:tab w:val="left" w:pos="709"/>
          <w:tab w:val="right" w:pos="8505"/>
        </w:tabs>
        <w:spacing w:after="0" w:line="360" w:lineRule="auto"/>
        <w:contextualSpacing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>641 Prihodi od financijske imovine</w:t>
      </w:r>
      <w:r w:rsidRPr="00894798">
        <w:rPr>
          <w:rFonts w:ascii="Arial" w:eastAsia="Calibri" w:hAnsi="Arial" w:cs="Arial"/>
        </w:rPr>
        <w:tab/>
        <w:t>15.000,00 kn</w:t>
      </w:r>
    </w:p>
    <w:p w14:paraId="7ABB814C" w14:textId="77777777" w:rsidR="00894798" w:rsidRPr="00894798" w:rsidRDefault="00894798" w:rsidP="00894798">
      <w:pPr>
        <w:numPr>
          <w:ilvl w:val="0"/>
          <w:numId w:val="2"/>
        </w:numPr>
        <w:tabs>
          <w:tab w:val="left" w:pos="709"/>
          <w:tab w:val="right" w:pos="8505"/>
        </w:tabs>
        <w:spacing w:after="0" w:line="360" w:lineRule="auto"/>
        <w:contextualSpacing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>642 Prihodi od nefinancijske imovine</w:t>
      </w:r>
      <w:r w:rsidRPr="00894798">
        <w:rPr>
          <w:rFonts w:ascii="Arial" w:eastAsia="Calibri" w:hAnsi="Arial" w:cs="Arial"/>
        </w:rPr>
        <w:tab/>
        <w:t>120.000,00 kn</w:t>
      </w:r>
    </w:p>
    <w:p w14:paraId="065C33EE" w14:textId="77777777" w:rsidR="00894798" w:rsidRPr="00894798" w:rsidRDefault="00894798" w:rsidP="00894798">
      <w:pPr>
        <w:numPr>
          <w:ilvl w:val="0"/>
          <w:numId w:val="2"/>
        </w:numPr>
        <w:tabs>
          <w:tab w:val="left" w:pos="709"/>
          <w:tab w:val="right" w:pos="8505"/>
        </w:tabs>
        <w:spacing w:before="240" w:after="0" w:line="360" w:lineRule="auto"/>
        <w:contextualSpacing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>651 Upravne i administrativne  pristojbe</w:t>
      </w:r>
      <w:r w:rsidRPr="00894798">
        <w:rPr>
          <w:rFonts w:ascii="Arial" w:eastAsia="Calibri" w:hAnsi="Arial" w:cs="Arial"/>
        </w:rPr>
        <w:tab/>
        <w:t xml:space="preserve">     10.500,00 kn</w:t>
      </w:r>
    </w:p>
    <w:p w14:paraId="1A40D38E" w14:textId="77777777" w:rsidR="00894798" w:rsidRPr="00894798" w:rsidRDefault="00894798" w:rsidP="00894798">
      <w:pPr>
        <w:numPr>
          <w:ilvl w:val="0"/>
          <w:numId w:val="2"/>
        </w:numPr>
        <w:tabs>
          <w:tab w:val="left" w:pos="709"/>
          <w:tab w:val="right" w:pos="8505"/>
        </w:tabs>
        <w:spacing w:after="0" w:line="360" w:lineRule="auto"/>
        <w:contextualSpacing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>652 Prihodi po posebnim propisima</w:t>
      </w:r>
      <w:r w:rsidRPr="00894798">
        <w:rPr>
          <w:rFonts w:ascii="Arial" w:eastAsia="Calibri" w:hAnsi="Arial" w:cs="Arial"/>
        </w:rPr>
        <w:tab/>
        <w:t>129.500,00 kn</w:t>
      </w:r>
    </w:p>
    <w:p w14:paraId="4400BADD" w14:textId="77777777" w:rsidR="00894798" w:rsidRPr="00894798" w:rsidRDefault="00894798" w:rsidP="00894798">
      <w:pPr>
        <w:numPr>
          <w:ilvl w:val="0"/>
          <w:numId w:val="2"/>
        </w:numPr>
        <w:tabs>
          <w:tab w:val="left" w:pos="709"/>
          <w:tab w:val="right" w:pos="8505"/>
        </w:tabs>
        <w:spacing w:after="0" w:line="360" w:lineRule="auto"/>
        <w:contextualSpacing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>653 Komunalni doprinosi i naknade</w:t>
      </w:r>
      <w:r w:rsidRPr="00894798">
        <w:rPr>
          <w:rFonts w:ascii="Arial" w:eastAsia="Calibri" w:hAnsi="Arial" w:cs="Arial"/>
        </w:rPr>
        <w:tab/>
        <w:t>572.000,00 kn</w:t>
      </w:r>
    </w:p>
    <w:p w14:paraId="6B0D86AD" w14:textId="77777777" w:rsidR="00894798" w:rsidRPr="00894798" w:rsidRDefault="00894798" w:rsidP="00894798">
      <w:pPr>
        <w:numPr>
          <w:ilvl w:val="0"/>
          <w:numId w:val="2"/>
        </w:numPr>
        <w:tabs>
          <w:tab w:val="left" w:pos="709"/>
          <w:tab w:val="right" w:pos="8505"/>
        </w:tabs>
        <w:spacing w:after="0" w:line="360" w:lineRule="auto"/>
        <w:contextualSpacing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>663 Donacije od pravnih i fizičkih osoba izvan općeg</w:t>
      </w:r>
    </w:p>
    <w:p w14:paraId="00F48540" w14:textId="77777777" w:rsidR="00894798" w:rsidRPr="00894798" w:rsidRDefault="00894798" w:rsidP="00894798">
      <w:pPr>
        <w:tabs>
          <w:tab w:val="left" w:pos="709"/>
          <w:tab w:val="right" w:pos="8505"/>
        </w:tabs>
        <w:spacing w:after="0" w:line="360" w:lineRule="auto"/>
        <w:contextualSpacing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ab/>
        <w:t>Proračuna</w:t>
      </w:r>
      <w:r w:rsidRPr="00894798">
        <w:rPr>
          <w:rFonts w:ascii="Arial" w:eastAsia="Calibri" w:hAnsi="Arial" w:cs="Arial"/>
        </w:rPr>
        <w:tab/>
        <w:t xml:space="preserve">     17.500,00 kn</w:t>
      </w:r>
    </w:p>
    <w:p w14:paraId="3FA89907" w14:textId="77777777" w:rsidR="00894798" w:rsidRPr="00894798" w:rsidRDefault="00894798" w:rsidP="00894798">
      <w:pPr>
        <w:numPr>
          <w:ilvl w:val="0"/>
          <w:numId w:val="2"/>
        </w:numPr>
        <w:tabs>
          <w:tab w:val="left" w:pos="709"/>
          <w:tab w:val="right" w:pos="8505"/>
        </w:tabs>
        <w:spacing w:after="0" w:line="360" w:lineRule="auto"/>
        <w:ind w:right="2238"/>
        <w:contextualSpacing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>711 Prihodi od prodaje materijalne imovine – prirodnih bogatstava</w:t>
      </w:r>
      <w:r w:rsidRPr="00894798">
        <w:rPr>
          <w:rFonts w:ascii="Arial" w:eastAsia="Calibri" w:hAnsi="Arial" w:cs="Arial"/>
        </w:rPr>
        <w:tab/>
        <w:t>70.000,00 kn</w:t>
      </w:r>
    </w:p>
    <w:p w14:paraId="420384E6" w14:textId="77777777" w:rsidR="00894798" w:rsidRDefault="00894798" w:rsidP="00894798">
      <w:pPr>
        <w:numPr>
          <w:ilvl w:val="0"/>
          <w:numId w:val="2"/>
        </w:numPr>
        <w:tabs>
          <w:tab w:val="left" w:pos="709"/>
          <w:tab w:val="right" w:pos="8505"/>
        </w:tabs>
        <w:spacing w:after="0" w:line="360" w:lineRule="auto"/>
        <w:ind w:right="2238"/>
        <w:contextualSpacing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  <w:lang w:eastAsia="hr-HR"/>
        </w:rPr>
        <w:t>922 Višak prihoda</w:t>
      </w:r>
      <w:r w:rsidRPr="00894798">
        <w:rPr>
          <w:rFonts w:ascii="Arial" w:eastAsia="Calibri" w:hAnsi="Arial" w:cs="Arial"/>
          <w:lang w:eastAsia="hr-HR"/>
        </w:rPr>
        <w:tab/>
        <w:t>2.303.759,89 kn</w:t>
      </w:r>
    </w:p>
    <w:p w14:paraId="5250552A" w14:textId="77777777" w:rsidR="00894798" w:rsidRPr="00894798" w:rsidRDefault="00894798" w:rsidP="00894798">
      <w:pPr>
        <w:tabs>
          <w:tab w:val="left" w:pos="709"/>
          <w:tab w:val="right" w:pos="8505"/>
        </w:tabs>
        <w:spacing w:after="0" w:line="360" w:lineRule="auto"/>
        <w:ind w:left="720" w:right="2238"/>
        <w:contextualSpacing/>
        <w:rPr>
          <w:rFonts w:ascii="Arial" w:eastAsia="Calibri" w:hAnsi="Arial" w:cs="Arial"/>
        </w:rPr>
      </w:pPr>
    </w:p>
    <w:tbl>
      <w:tblPr>
        <w:tblW w:w="7381" w:type="dxa"/>
        <w:tblInd w:w="392" w:type="dxa"/>
        <w:tblLook w:val="04A0" w:firstRow="1" w:lastRow="0" w:firstColumn="1" w:lastColumn="0" w:noHBand="0" w:noVBand="1"/>
      </w:tblPr>
      <w:tblGrid>
        <w:gridCol w:w="7479"/>
      </w:tblGrid>
      <w:tr w:rsidR="00894798" w:rsidRPr="00894798" w14:paraId="5E33C352" w14:textId="77777777" w:rsidTr="003B7E52">
        <w:trPr>
          <w:trHeight w:val="315"/>
        </w:trPr>
        <w:tc>
          <w:tcPr>
            <w:tcW w:w="7381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</w:tcPr>
          <w:tbl>
            <w:tblPr>
              <w:tblW w:w="7263" w:type="dxa"/>
              <w:tblLook w:val="04A0" w:firstRow="1" w:lastRow="0" w:firstColumn="1" w:lastColumn="0" w:noHBand="0" w:noVBand="1"/>
            </w:tblPr>
            <w:tblGrid>
              <w:gridCol w:w="4853"/>
              <w:gridCol w:w="2410"/>
            </w:tblGrid>
            <w:tr w:rsidR="00894798" w:rsidRPr="00894798" w14:paraId="2D5A478A" w14:textId="77777777" w:rsidTr="003B7E52">
              <w:trPr>
                <w:trHeight w:val="315"/>
              </w:trPr>
              <w:tc>
                <w:tcPr>
                  <w:tcW w:w="4853" w:type="dxa"/>
                  <w:tcBorders>
                    <w:top w:val="nil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A5B592"/>
                  <w:noWrap/>
                  <w:vAlign w:val="center"/>
                  <w:hideMark/>
                </w:tcPr>
                <w:p w14:paraId="1C0E4B51" w14:textId="77777777" w:rsidR="00894798" w:rsidRPr="00894798" w:rsidRDefault="00894798" w:rsidP="00894798">
                  <w:pPr>
                    <w:tabs>
                      <w:tab w:val="left" w:pos="709"/>
                      <w:tab w:val="right" w:pos="8505"/>
                    </w:tabs>
                    <w:spacing w:after="0" w:line="240" w:lineRule="auto"/>
                    <w:ind w:left="720" w:hanging="360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94798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Vrsta prihoda i primitaka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4" w:space="0" w:color="FFFFFF"/>
                    <w:bottom w:val="single" w:sz="12" w:space="0" w:color="FFFFFF"/>
                    <w:right w:val="nil"/>
                  </w:tcBorders>
                  <w:shd w:val="clear" w:color="000000" w:fill="A5B592"/>
                  <w:noWrap/>
                  <w:vAlign w:val="center"/>
                  <w:hideMark/>
                </w:tcPr>
                <w:p w14:paraId="6B6C1B25" w14:textId="77777777" w:rsidR="00894798" w:rsidRPr="00894798" w:rsidRDefault="00894798" w:rsidP="00894798">
                  <w:pPr>
                    <w:tabs>
                      <w:tab w:val="left" w:pos="709"/>
                      <w:tab w:val="right" w:pos="8505"/>
                    </w:tabs>
                    <w:spacing w:after="0" w:line="240" w:lineRule="auto"/>
                    <w:ind w:left="720" w:hanging="360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894798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Iznos</w:t>
                  </w:r>
                </w:p>
              </w:tc>
            </w:tr>
            <w:tr w:rsidR="00894798" w:rsidRPr="00894798" w14:paraId="78BD0544" w14:textId="77777777" w:rsidTr="003B7E52">
              <w:trPr>
                <w:trHeight w:val="615"/>
              </w:trPr>
              <w:tc>
                <w:tcPr>
                  <w:tcW w:w="4853" w:type="dxa"/>
                  <w:tcBorders>
                    <w:top w:val="single" w:sz="4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DBE1D2"/>
                  <w:noWrap/>
                  <w:vAlign w:val="center"/>
                  <w:hideMark/>
                </w:tcPr>
                <w:p w14:paraId="7B773E97" w14:textId="77777777" w:rsidR="00894798" w:rsidRPr="00894798" w:rsidRDefault="00894798" w:rsidP="00894798">
                  <w:pPr>
                    <w:tabs>
                      <w:tab w:val="left" w:pos="885"/>
                      <w:tab w:val="right" w:pos="8505"/>
                    </w:tabs>
                    <w:spacing w:after="0" w:line="240" w:lineRule="auto"/>
                    <w:ind w:left="31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89479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241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FFFFFF"/>
                    <w:right w:val="nil"/>
                  </w:tcBorders>
                  <w:shd w:val="clear" w:color="000000" w:fill="DBE1D2"/>
                  <w:noWrap/>
                  <w:vAlign w:val="center"/>
                  <w:hideMark/>
                </w:tcPr>
                <w:p w14:paraId="28A90F4F" w14:textId="77777777" w:rsidR="00894798" w:rsidRPr="00894798" w:rsidRDefault="00894798" w:rsidP="00894798">
                  <w:pPr>
                    <w:tabs>
                      <w:tab w:val="left" w:pos="709"/>
                      <w:tab w:val="right" w:pos="8505"/>
                    </w:tabs>
                    <w:spacing w:after="0" w:line="240" w:lineRule="auto"/>
                    <w:ind w:left="720" w:hanging="36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89479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3.711.140,11 kn</w:t>
                  </w:r>
                </w:p>
              </w:tc>
            </w:tr>
            <w:tr w:rsidR="00894798" w:rsidRPr="00894798" w14:paraId="03F7EB20" w14:textId="77777777" w:rsidTr="003B7E52">
              <w:trPr>
                <w:trHeight w:val="525"/>
              </w:trPr>
              <w:tc>
                <w:tcPr>
                  <w:tcW w:w="4853" w:type="dxa"/>
                  <w:tcBorders>
                    <w:top w:val="single" w:sz="4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CEFE9"/>
                  <w:vAlign w:val="center"/>
                  <w:hideMark/>
                </w:tcPr>
                <w:p w14:paraId="067FEB0E" w14:textId="77777777" w:rsidR="00894798" w:rsidRPr="00894798" w:rsidRDefault="00894798" w:rsidP="00894798">
                  <w:pPr>
                    <w:tabs>
                      <w:tab w:val="left" w:pos="885"/>
                      <w:tab w:val="right" w:pos="8505"/>
                    </w:tabs>
                    <w:spacing w:after="0" w:line="240" w:lineRule="auto"/>
                    <w:ind w:left="31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89479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Pomoći iz  inozemstva i od subjekata unutar općeg proračuna</w:t>
                  </w:r>
                </w:p>
              </w:tc>
              <w:tc>
                <w:tcPr>
                  <w:tcW w:w="241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FFFFFF"/>
                    <w:right w:val="nil"/>
                  </w:tcBorders>
                  <w:shd w:val="clear" w:color="000000" w:fill="ECEFE9"/>
                  <w:noWrap/>
                  <w:vAlign w:val="center"/>
                  <w:hideMark/>
                </w:tcPr>
                <w:p w14:paraId="74693A8B" w14:textId="77777777" w:rsidR="00894798" w:rsidRPr="00894798" w:rsidRDefault="00894798" w:rsidP="00894798">
                  <w:pPr>
                    <w:tabs>
                      <w:tab w:val="left" w:pos="709"/>
                      <w:tab w:val="right" w:pos="8505"/>
                    </w:tabs>
                    <w:spacing w:after="0" w:line="240" w:lineRule="auto"/>
                    <w:ind w:left="720" w:hanging="36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89479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4.197.300,00 kn</w:t>
                  </w:r>
                </w:p>
              </w:tc>
            </w:tr>
            <w:tr w:rsidR="00894798" w:rsidRPr="00894798" w14:paraId="3EECE4D7" w14:textId="77777777" w:rsidTr="003B7E52">
              <w:trPr>
                <w:trHeight w:val="315"/>
              </w:trPr>
              <w:tc>
                <w:tcPr>
                  <w:tcW w:w="4853" w:type="dxa"/>
                  <w:tcBorders>
                    <w:top w:val="single" w:sz="4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DBE1D2"/>
                  <w:noWrap/>
                  <w:vAlign w:val="center"/>
                  <w:hideMark/>
                </w:tcPr>
                <w:p w14:paraId="5903CB38" w14:textId="77777777" w:rsidR="00894798" w:rsidRPr="00894798" w:rsidRDefault="00894798" w:rsidP="00894798">
                  <w:pPr>
                    <w:tabs>
                      <w:tab w:val="left" w:pos="885"/>
                      <w:tab w:val="right" w:pos="8505"/>
                    </w:tabs>
                    <w:spacing w:after="0" w:line="240" w:lineRule="auto"/>
                    <w:ind w:left="31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89479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Prihodi od  imovine</w:t>
                  </w:r>
                </w:p>
              </w:tc>
              <w:tc>
                <w:tcPr>
                  <w:tcW w:w="241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FFFFFF"/>
                    <w:right w:val="nil"/>
                  </w:tcBorders>
                  <w:shd w:val="clear" w:color="000000" w:fill="DBE1D2"/>
                  <w:noWrap/>
                  <w:vAlign w:val="center"/>
                  <w:hideMark/>
                </w:tcPr>
                <w:p w14:paraId="0197FDB6" w14:textId="77777777" w:rsidR="00894798" w:rsidRPr="00894798" w:rsidRDefault="00894798" w:rsidP="00894798">
                  <w:pPr>
                    <w:tabs>
                      <w:tab w:val="left" w:pos="709"/>
                      <w:tab w:val="right" w:pos="8505"/>
                    </w:tabs>
                    <w:spacing w:after="0" w:line="240" w:lineRule="auto"/>
                    <w:ind w:left="720" w:hanging="36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89479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135.000,00 kn</w:t>
                  </w:r>
                </w:p>
              </w:tc>
            </w:tr>
            <w:tr w:rsidR="00894798" w:rsidRPr="00894798" w14:paraId="69C59ADD" w14:textId="77777777" w:rsidTr="003B7E52">
              <w:trPr>
                <w:trHeight w:val="780"/>
              </w:trPr>
              <w:tc>
                <w:tcPr>
                  <w:tcW w:w="4853" w:type="dxa"/>
                  <w:tcBorders>
                    <w:top w:val="single" w:sz="4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CEFE9"/>
                  <w:vAlign w:val="center"/>
                  <w:hideMark/>
                </w:tcPr>
                <w:p w14:paraId="2113EF04" w14:textId="77777777" w:rsidR="00894798" w:rsidRPr="00894798" w:rsidRDefault="00894798" w:rsidP="00894798">
                  <w:pPr>
                    <w:tabs>
                      <w:tab w:val="left" w:pos="885"/>
                      <w:tab w:val="right" w:pos="8505"/>
                    </w:tabs>
                    <w:spacing w:after="0" w:line="240" w:lineRule="auto"/>
                    <w:ind w:left="31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89479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FFFFFF"/>
                    <w:right w:val="nil"/>
                  </w:tcBorders>
                  <w:shd w:val="clear" w:color="000000" w:fill="ECEFE9"/>
                  <w:noWrap/>
                  <w:vAlign w:val="center"/>
                  <w:hideMark/>
                </w:tcPr>
                <w:p w14:paraId="14C52268" w14:textId="77777777" w:rsidR="00894798" w:rsidRPr="00894798" w:rsidRDefault="00894798" w:rsidP="00894798">
                  <w:pPr>
                    <w:tabs>
                      <w:tab w:val="left" w:pos="709"/>
                      <w:tab w:val="right" w:pos="8505"/>
                    </w:tabs>
                    <w:spacing w:after="0" w:line="240" w:lineRule="auto"/>
                    <w:ind w:left="720" w:hanging="36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89479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712.000,00 kn</w:t>
                  </w:r>
                </w:p>
              </w:tc>
            </w:tr>
            <w:tr w:rsidR="00894798" w:rsidRPr="00894798" w14:paraId="0497E52F" w14:textId="77777777" w:rsidTr="003B7E52">
              <w:trPr>
                <w:trHeight w:val="525"/>
              </w:trPr>
              <w:tc>
                <w:tcPr>
                  <w:tcW w:w="4853" w:type="dxa"/>
                  <w:tcBorders>
                    <w:top w:val="single" w:sz="4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CEFE9"/>
                  <w:vAlign w:val="center"/>
                  <w:hideMark/>
                </w:tcPr>
                <w:p w14:paraId="5CD2FB22" w14:textId="77777777" w:rsidR="00894798" w:rsidRPr="00894798" w:rsidRDefault="00894798" w:rsidP="00894798">
                  <w:pPr>
                    <w:tabs>
                      <w:tab w:val="left" w:pos="885"/>
                      <w:tab w:val="right" w:pos="8505"/>
                    </w:tabs>
                    <w:spacing w:after="0" w:line="240" w:lineRule="auto"/>
                    <w:ind w:left="31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89479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Prihodi od prodaje proizvoda i roba te pruženih usluga i prihodi od donacija</w:t>
                  </w:r>
                </w:p>
              </w:tc>
              <w:tc>
                <w:tcPr>
                  <w:tcW w:w="241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FFFFFF"/>
                    <w:right w:val="nil"/>
                  </w:tcBorders>
                  <w:shd w:val="clear" w:color="000000" w:fill="ECEFE9"/>
                  <w:noWrap/>
                  <w:vAlign w:val="center"/>
                  <w:hideMark/>
                </w:tcPr>
                <w:p w14:paraId="24F921F1" w14:textId="77777777" w:rsidR="00894798" w:rsidRPr="00894798" w:rsidRDefault="00894798" w:rsidP="00894798">
                  <w:pPr>
                    <w:tabs>
                      <w:tab w:val="left" w:pos="709"/>
                      <w:tab w:val="right" w:pos="8505"/>
                    </w:tabs>
                    <w:spacing w:after="0" w:line="240" w:lineRule="auto"/>
                    <w:ind w:left="720" w:hanging="36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89479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17.500,00 kn</w:t>
                  </w:r>
                </w:p>
              </w:tc>
            </w:tr>
            <w:tr w:rsidR="00894798" w:rsidRPr="00894798" w14:paraId="24FB8865" w14:textId="77777777" w:rsidTr="003B7E52">
              <w:trPr>
                <w:trHeight w:val="525"/>
              </w:trPr>
              <w:tc>
                <w:tcPr>
                  <w:tcW w:w="4853" w:type="dxa"/>
                  <w:tcBorders>
                    <w:top w:val="single" w:sz="4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CEFE9"/>
                  <w:vAlign w:val="center"/>
                  <w:hideMark/>
                </w:tcPr>
                <w:p w14:paraId="523FEC41" w14:textId="77777777" w:rsidR="00894798" w:rsidRPr="00894798" w:rsidRDefault="00894798" w:rsidP="00894798">
                  <w:pPr>
                    <w:tabs>
                      <w:tab w:val="left" w:pos="885"/>
                      <w:tab w:val="right" w:pos="8505"/>
                    </w:tabs>
                    <w:spacing w:after="0" w:line="240" w:lineRule="auto"/>
                    <w:ind w:left="31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89479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Prihodi od prodaje </w:t>
                  </w:r>
                  <w:proofErr w:type="spellStart"/>
                  <w:r w:rsidRPr="0089479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neproizvedene</w:t>
                  </w:r>
                  <w:proofErr w:type="spellEnd"/>
                  <w:r w:rsidRPr="0089479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241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FFFFFF"/>
                    <w:right w:val="nil"/>
                  </w:tcBorders>
                  <w:shd w:val="clear" w:color="000000" w:fill="ECEFE9"/>
                  <w:noWrap/>
                  <w:vAlign w:val="center"/>
                  <w:hideMark/>
                </w:tcPr>
                <w:p w14:paraId="79574B95" w14:textId="77777777" w:rsidR="00894798" w:rsidRPr="00894798" w:rsidRDefault="00894798" w:rsidP="00894798">
                  <w:pPr>
                    <w:tabs>
                      <w:tab w:val="left" w:pos="709"/>
                      <w:tab w:val="right" w:pos="8505"/>
                    </w:tabs>
                    <w:spacing w:after="0" w:line="240" w:lineRule="auto"/>
                    <w:ind w:left="720" w:hanging="36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89479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70.000,00 kn</w:t>
                  </w:r>
                </w:p>
              </w:tc>
            </w:tr>
            <w:tr w:rsidR="00894798" w:rsidRPr="00894798" w14:paraId="1201308D" w14:textId="77777777" w:rsidTr="003B7E52">
              <w:trPr>
                <w:trHeight w:val="315"/>
              </w:trPr>
              <w:tc>
                <w:tcPr>
                  <w:tcW w:w="4853" w:type="dxa"/>
                  <w:tcBorders>
                    <w:top w:val="single" w:sz="4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CEFE9"/>
                  <w:vAlign w:val="center"/>
                  <w:hideMark/>
                </w:tcPr>
                <w:p w14:paraId="60AC4881" w14:textId="77777777" w:rsidR="00894798" w:rsidRPr="00894798" w:rsidRDefault="00894798" w:rsidP="00894798">
                  <w:pPr>
                    <w:tabs>
                      <w:tab w:val="left" w:pos="885"/>
                      <w:tab w:val="right" w:pos="8505"/>
                    </w:tabs>
                    <w:spacing w:after="0" w:line="240" w:lineRule="auto"/>
                    <w:ind w:left="31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89479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Višak prihoda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FFFFFF"/>
                    <w:right w:val="nil"/>
                  </w:tcBorders>
                  <w:shd w:val="clear" w:color="000000" w:fill="ECEFE9"/>
                  <w:noWrap/>
                  <w:vAlign w:val="center"/>
                  <w:hideMark/>
                </w:tcPr>
                <w:p w14:paraId="4C667772" w14:textId="77777777" w:rsidR="00894798" w:rsidRPr="00894798" w:rsidRDefault="00894798" w:rsidP="00894798">
                  <w:pPr>
                    <w:tabs>
                      <w:tab w:val="left" w:pos="709"/>
                      <w:tab w:val="right" w:pos="8505"/>
                    </w:tabs>
                    <w:spacing w:after="0" w:line="240" w:lineRule="auto"/>
                    <w:ind w:left="720" w:hanging="36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89479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2.303.759,89 kn</w:t>
                  </w:r>
                </w:p>
              </w:tc>
            </w:tr>
            <w:tr w:rsidR="00894798" w:rsidRPr="00894798" w14:paraId="0DD327E8" w14:textId="77777777" w:rsidTr="003B7E52">
              <w:trPr>
                <w:trHeight w:val="300"/>
              </w:trPr>
              <w:tc>
                <w:tcPr>
                  <w:tcW w:w="4853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single" w:sz="8" w:space="0" w:color="FFFFFF"/>
                  </w:tcBorders>
                  <w:shd w:val="clear" w:color="000000" w:fill="ECEFE9"/>
                  <w:vAlign w:val="center"/>
                  <w:hideMark/>
                </w:tcPr>
                <w:p w14:paraId="52B0466C" w14:textId="77777777" w:rsidR="00894798" w:rsidRPr="00894798" w:rsidRDefault="00894798" w:rsidP="00894798">
                  <w:pPr>
                    <w:tabs>
                      <w:tab w:val="left" w:pos="709"/>
                      <w:tab w:val="right" w:pos="8505"/>
                    </w:tabs>
                    <w:spacing w:after="0" w:line="240" w:lineRule="auto"/>
                    <w:ind w:left="720" w:hanging="36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89479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000000" w:fill="ECEFE9"/>
                  <w:noWrap/>
                  <w:vAlign w:val="center"/>
                  <w:hideMark/>
                </w:tcPr>
                <w:p w14:paraId="4F8A75B9" w14:textId="77777777" w:rsidR="00894798" w:rsidRPr="00894798" w:rsidRDefault="00894798" w:rsidP="00894798">
                  <w:pPr>
                    <w:tabs>
                      <w:tab w:val="left" w:pos="709"/>
                      <w:tab w:val="right" w:pos="8505"/>
                    </w:tabs>
                    <w:spacing w:after="0" w:line="240" w:lineRule="auto"/>
                    <w:ind w:left="720" w:hanging="36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89479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</w:tbl>
          <w:p w14:paraId="78AE9FC2" w14:textId="77777777" w:rsidR="00894798" w:rsidRPr="00894798" w:rsidRDefault="00894798" w:rsidP="00894798">
            <w:pPr>
              <w:tabs>
                <w:tab w:val="left" w:pos="709"/>
                <w:tab w:val="right" w:pos="8505"/>
              </w:tabs>
              <w:ind w:left="720" w:hanging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2D905B9" w14:textId="77777777" w:rsidR="00894798" w:rsidRPr="00894798" w:rsidRDefault="00894798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Calibri" w:eastAsia="Calibri" w:hAnsi="Calibri" w:cs="Calibri"/>
        </w:rPr>
      </w:pPr>
    </w:p>
    <w:p w14:paraId="5ABD3105" w14:textId="77777777" w:rsidR="00894798" w:rsidRPr="00894798" w:rsidRDefault="00894798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20"/>
        <w:contextualSpacing/>
        <w:jc w:val="right"/>
        <w:rPr>
          <w:rFonts w:ascii="Calibri" w:eastAsia="Calibri" w:hAnsi="Calibri" w:cs="Calibri"/>
        </w:rPr>
      </w:pPr>
    </w:p>
    <w:p w14:paraId="270E6A1B" w14:textId="77777777" w:rsidR="00894798" w:rsidRPr="00894798" w:rsidRDefault="00894798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20"/>
        <w:contextualSpacing/>
        <w:jc w:val="right"/>
        <w:rPr>
          <w:rFonts w:ascii="Calibri" w:eastAsia="Calibri" w:hAnsi="Calibri" w:cs="Calibri"/>
        </w:rPr>
      </w:pPr>
    </w:p>
    <w:p w14:paraId="6F095DC1" w14:textId="77777777" w:rsidR="00894798" w:rsidRPr="00894798" w:rsidRDefault="00894798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20"/>
        <w:contextualSpacing/>
        <w:jc w:val="right"/>
        <w:rPr>
          <w:rFonts w:ascii="Calibri" w:eastAsia="Calibri" w:hAnsi="Calibri" w:cs="Calibri"/>
        </w:rPr>
      </w:pPr>
    </w:p>
    <w:p w14:paraId="555EAE0C" w14:textId="1927D8C8" w:rsidR="00894798" w:rsidRPr="00894798" w:rsidRDefault="005F2C31" w:rsidP="005F2C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20" w:right="2693"/>
        <w:contextualSpacing/>
        <w:rPr>
          <w:rFonts w:ascii="Calibri" w:eastAsia="Calibri" w:hAnsi="Calibri" w:cs="Calibri"/>
        </w:rPr>
      </w:pPr>
      <w:r w:rsidRPr="00894798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28B43E23" wp14:editId="23D5A418">
            <wp:extent cx="5760720" cy="3460173"/>
            <wp:effectExtent l="57150" t="57150" r="125730" b="140335"/>
            <wp:docPr id="6" name="Grafiko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C47E2CB" w14:textId="77777777" w:rsidR="00894798" w:rsidRPr="00894798" w:rsidRDefault="00894798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eastAsia="Calibri" w:hAnsi="Arial" w:cs="Arial"/>
        </w:rPr>
      </w:pPr>
    </w:p>
    <w:p w14:paraId="5CD456D1" w14:textId="77777777" w:rsidR="00894798" w:rsidRPr="00894798" w:rsidRDefault="00894798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left="720"/>
        <w:contextualSpacing/>
        <w:jc w:val="both"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>Rashodi i izdaci Proračuna Općine Netretić za 2022. godinu planirani su u iznosu od</w:t>
      </w:r>
    </w:p>
    <w:p w14:paraId="59137E4B" w14:textId="77777777" w:rsidR="00894798" w:rsidRPr="00894798" w:rsidRDefault="00894798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 xml:space="preserve"> 11.146.700,00 kuna i to kako slijedi:</w:t>
      </w:r>
    </w:p>
    <w:p w14:paraId="5BE0F270" w14:textId="77777777" w:rsidR="00894798" w:rsidRPr="00894798" w:rsidRDefault="00894798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eastAsia="Calibri" w:hAnsi="Arial" w:cs="Arial"/>
        </w:rPr>
      </w:pPr>
    </w:p>
    <w:p w14:paraId="5FC1A1CE" w14:textId="77777777" w:rsidR="00894798" w:rsidRPr="00894798" w:rsidRDefault="00894798" w:rsidP="00894798">
      <w:pPr>
        <w:pStyle w:val="crtice"/>
      </w:pPr>
      <w:r w:rsidRPr="00894798">
        <w:t>311 Plaće (Bruto)</w:t>
      </w:r>
      <w:r w:rsidRPr="00894798">
        <w:tab/>
        <w:t xml:space="preserve"> 688.200.00,00 kn</w:t>
      </w:r>
    </w:p>
    <w:p w14:paraId="226943FD" w14:textId="77777777" w:rsidR="00894798" w:rsidRPr="00894798" w:rsidRDefault="00894798" w:rsidP="00894798">
      <w:pPr>
        <w:pStyle w:val="crtice"/>
      </w:pPr>
      <w:r w:rsidRPr="00894798">
        <w:t>312 Ostali rashodi za zaposlene</w:t>
      </w:r>
      <w:r w:rsidRPr="00894798">
        <w:tab/>
        <w:t xml:space="preserve">  35.000,00 kn</w:t>
      </w:r>
    </w:p>
    <w:p w14:paraId="3B6206D2" w14:textId="77777777" w:rsidR="00894798" w:rsidRPr="00894798" w:rsidRDefault="00894798" w:rsidP="00894798">
      <w:pPr>
        <w:pStyle w:val="crtice"/>
      </w:pPr>
      <w:r w:rsidRPr="00894798">
        <w:t>313 Doprinosi na plaće</w:t>
      </w:r>
      <w:r w:rsidRPr="00894798">
        <w:tab/>
        <w:t>124.800,00 kn</w:t>
      </w:r>
    </w:p>
    <w:p w14:paraId="3AAC6BD3" w14:textId="77777777" w:rsidR="00894798" w:rsidRPr="00894798" w:rsidRDefault="00894798" w:rsidP="00894798">
      <w:pPr>
        <w:pStyle w:val="crtice"/>
      </w:pPr>
      <w:r w:rsidRPr="00894798">
        <w:t>321 Naknade troškova zaposlenima</w:t>
      </w:r>
      <w:r w:rsidRPr="00894798">
        <w:tab/>
        <w:t>112.000,00 kn</w:t>
      </w:r>
    </w:p>
    <w:p w14:paraId="03B146B6" w14:textId="77777777" w:rsidR="00894798" w:rsidRPr="00894798" w:rsidRDefault="00894798" w:rsidP="00894798">
      <w:pPr>
        <w:pStyle w:val="crtice"/>
      </w:pPr>
      <w:r w:rsidRPr="00894798">
        <w:t>322 Rashodi za materijal i energiju</w:t>
      </w:r>
      <w:r w:rsidRPr="00894798">
        <w:tab/>
        <w:t>533.100,00 kn</w:t>
      </w:r>
    </w:p>
    <w:p w14:paraId="42F26B6A" w14:textId="77777777" w:rsidR="00894798" w:rsidRPr="00894798" w:rsidRDefault="00894798" w:rsidP="00894798">
      <w:pPr>
        <w:pStyle w:val="crtice"/>
      </w:pPr>
      <w:r w:rsidRPr="00894798">
        <w:t>323 Rashodi za usluge</w:t>
      </w:r>
      <w:r w:rsidRPr="00894798">
        <w:tab/>
        <w:t xml:space="preserve">           1.956.100,00 kn,</w:t>
      </w:r>
    </w:p>
    <w:p w14:paraId="690F9D4B" w14:textId="77777777" w:rsidR="00894798" w:rsidRPr="00894798" w:rsidRDefault="00894798" w:rsidP="00894798">
      <w:pPr>
        <w:pStyle w:val="crtice"/>
      </w:pPr>
      <w:r w:rsidRPr="00894798">
        <w:t>329 Ostali nespomenuti rashodi poslovanja</w:t>
      </w:r>
      <w:r w:rsidRPr="00894798">
        <w:tab/>
        <w:t xml:space="preserve">              389.000,00 kn</w:t>
      </w:r>
    </w:p>
    <w:p w14:paraId="171233A5" w14:textId="77777777" w:rsidR="00894798" w:rsidRPr="00894798" w:rsidRDefault="00894798" w:rsidP="00894798">
      <w:pPr>
        <w:pStyle w:val="crtice"/>
      </w:pPr>
      <w:r w:rsidRPr="00894798">
        <w:t xml:space="preserve">343 Ostali financijski rashodi </w:t>
      </w:r>
      <w:r w:rsidRPr="00894798">
        <w:tab/>
        <w:t xml:space="preserve">  35.000,00 kn</w:t>
      </w:r>
    </w:p>
    <w:p w14:paraId="3053FBE9" w14:textId="77777777" w:rsidR="00894798" w:rsidRPr="00894798" w:rsidRDefault="00894798" w:rsidP="005F2C31">
      <w:pPr>
        <w:pStyle w:val="crtice"/>
        <w:ind w:right="2693"/>
      </w:pPr>
      <w:r w:rsidRPr="00894798">
        <w:t>352 Subvencije trgovačkim društvima, poljoprivrednicima i obrtnicima izvan javnog sektora</w:t>
      </w:r>
      <w:r w:rsidRPr="00894798">
        <w:tab/>
        <w:t xml:space="preserve">  50.000,00 kn</w:t>
      </w:r>
    </w:p>
    <w:p w14:paraId="20F3F19D" w14:textId="77777777" w:rsidR="00894798" w:rsidRPr="00894798" w:rsidRDefault="00894798" w:rsidP="005F2C31">
      <w:pPr>
        <w:pStyle w:val="crtice"/>
        <w:ind w:right="2268"/>
      </w:pPr>
      <w:r w:rsidRPr="00894798">
        <w:t xml:space="preserve">366 Tekuće pomoći proračunskim korisnicima drugih proračuna       </w:t>
      </w:r>
      <w:r w:rsidRPr="00894798">
        <w:tab/>
        <w:t xml:space="preserve"> 2.720.000,00 kn</w:t>
      </w:r>
    </w:p>
    <w:p w14:paraId="4988D0F4" w14:textId="77777777" w:rsidR="00894798" w:rsidRPr="00894798" w:rsidRDefault="00894798" w:rsidP="00894798">
      <w:pPr>
        <w:pStyle w:val="crtice"/>
      </w:pPr>
      <w:r w:rsidRPr="00894798">
        <w:t>372 Ostale naknade građanima i kućanstvima iz</w:t>
      </w:r>
    </w:p>
    <w:p w14:paraId="20C4EDF8" w14:textId="77777777" w:rsidR="00894798" w:rsidRPr="00894798" w:rsidRDefault="00894798" w:rsidP="00894798">
      <w:pPr>
        <w:pStyle w:val="crtice"/>
      </w:pPr>
      <w:r w:rsidRPr="00894798">
        <w:t>proračuna</w:t>
      </w:r>
      <w:r w:rsidRPr="00894798">
        <w:tab/>
        <w:t>414.000,00 kn</w:t>
      </w:r>
    </w:p>
    <w:p w14:paraId="3DEA07F4" w14:textId="77777777" w:rsidR="00894798" w:rsidRPr="00894798" w:rsidRDefault="00894798" w:rsidP="00894798">
      <w:pPr>
        <w:pStyle w:val="crtice"/>
      </w:pPr>
      <w:r w:rsidRPr="00894798">
        <w:t>381 Tekuće donacije</w:t>
      </w:r>
      <w:r w:rsidRPr="00894798">
        <w:tab/>
        <w:t>399.700,00 kn</w:t>
      </w:r>
    </w:p>
    <w:p w14:paraId="563FF2B5" w14:textId="77777777" w:rsidR="00894798" w:rsidRPr="00894798" w:rsidRDefault="00894798" w:rsidP="00894798">
      <w:pPr>
        <w:pStyle w:val="crtice"/>
      </w:pPr>
      <w:r w:rsidRPr="00894798">
        <w:t>382 Kapitalne donacije</w:t>
      </w:r>
      <w:r w:rsidRPr="00894798">
        <w:tab/>
        <w:t>266.000,00 kn</w:t>
      </w:r>
    </w:p>
    <w:p w14:paraId="6E4EE623" w14:textId="77777777" w:rsidR="00894798" w:rsidRPr="00894798" w:rsidRDefault="00894798" w:rsidP="00894798">
      <w:pPr>
        <w:pStyle w:val="crtice"/>
      </w:pPr>
      <w:r w:rsidRPr="00894798">
        <w:t>383 Kazne, penali i naknade štete</w:t>
      </w:r>
      <w:r w:rsidRPr="00894798">
        <w:tab/>
        <w:t>10.000,00 kn</w:t>
      </w:r>
    </w:p>
    <w:p w14:paraId="63DFCB7E" w14:textId="77777777" w:rsidR="00894798" w:rsidRPr="00894798" w:rsidRDefault="00894798" w:rsidP="00894798">
      <w:pPr>
        <w:pStyle w:val="crtice"/>
      </w:pPr>
      <w:r w:rsidRPr="00894798">
        <w:lastRenderedPageBreak/>
        <w:t>386 Kapitalne pomoći</w:t>
      </w:r>
      <w:r w:rsidRPr="00894798">
        <w:tab/>
        <w:t>152.800,00 kn</w:t>
      </w:r>
    </w:p>
    <w:p w14:paraId="1B8E8781" w14:textId="77777777" w:rsidR="00894798" w:rsidRPr="00894798" w:rsidRDefault="00894798" w:rsidP="00894798">
      <w:pPr>
        <w:pStyle w:val="crtice"/>
      </w:pPr>
      <w:r w:rsidRPr="00894798">
        <w:t>421 Građevinski objekti</w:t>
      </w:r>
      <w:r w:rsidRPr="00894798">
        <w:tab/>
        <w:t>3.021.000,00 kn</w:t>
      </w:r>
    </w:p>
    <w:p w14:paraId="45F11477" w14:textId="77777777" w:rsidR="00894798" w:rsidRPr="00894798" w:rsidRDefault="00894798" w:rsidP="00894798">
      <w:pPr>
        <w:pStyle w:val="crtice"/>
      </w:pPr>
      <w:r w:rsidRPr="00894798">
        <w:t>422 Postrojenja i oprema</w:t>
      </w:r>
      <w:r w:rsidRPr="00894798">
        <w:tab/>
        <w:t>195.000,00 kn</w:t>
      </w:r>
    </w:p>
    <w:p w14:paraId="4CAAE056" w14:textId="77777777" w:rsidR="00894798" w:rsidRPr="00894798" w:rsidRDefault="00894798" w:rsidP="00894798">
      <w:pPr>
        <w:pStyle w:val="crtice"/>
      </w:pPr>
      <w:r w:rsidRPr="00894798">
        <w:t>426 Nematerijalna proizvedena imovina</w:t>
      </w:r>
      <w:r w:rsidRPr="00894798">
        <w:tab/>
        <w:t xml:space="preserve">  45.000,00 kn</w:t>
      </w:r>
    </w:p>
    <w:p w14:paraId="526D2B8B" w14:textId="77777777" w:rsidR="00894798" w:rsidRPr="00894798" w:rsidRDefault="00894798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20"/>
        <w:contextualSpacing/>
        <w:jc w:val="both"/>
        <w:rPr>
          <w:rFonts w:ascii="Calibri" w:eastAsia="Calibri" w:hAnsi="Calibri" w:cs="Calibri"/>
        </w:rPr>
      </w:pPr>
    </w:p>
    <w:p w14:paraId="412C4757" w14:textId="77777777" w:rsidR="00894798" w:rsidRPr="00894798" w:rsidRDefault="00894798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left="720"/>
        <w:contextualSpacing/>
        <w:jc w:val="both"/>
        <w:rPr>
          <w:rFonts w:ascii="Calibri" w:eastAsia="Calibri" w:hAnsi="Calibri" w:cs="Calibri"/>
        </w:rPr>
      </w:pPr>
    </w:p>
    <w:tbl>
      <w:tblPr>
        <w:tblW w:w="5400" w:type="dxa"/>
        <w:tblInd w:w="1893" w:type="dxa"/>
        <w:tblLook w:val="04A0" w:firstRow="1" w:lastRow="0" w:firstColumn="1" w:lastColumn="0" w:noHBand="0" w:noVBand="1"/>
      </w:tblPr>
      <w:tblGrid>
        <w:gridCol w:w="3460"/>
        <w:gridCol w:w="1940"/>
      </w:tblGrid>
      <w:tr w:rsidR="00894798" w:rsidRPr="00894798" w14:paraId="767EDE0E" w14:textId="77777777" w:rsidTr="003B7E52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A5B592"/>
            <w:noWrap/>
            <w:vAlign w:val="center"/>
            <w:hideMark/>
          </w:tcPr>
          <w:p w14:paraId="5AB9B842" w14:textId="77777777" w:rsidR="00894798" w:rsidRPr="00894798" w:rsidRDefault="00894798" w:rsidP="00894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479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Vrsta rashoda i izdataka</w:t>
            </w:r>
          </w:p>
        </w:tc>
        <w:tc>
          <w:tcPr>
            <w:tcW w:w="194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000000" w:fill="A5B592"/>
            <w:noWrap/>
            <w:vAlign w:val="center"/>
            <w:hideMark/>
          </w:tcPr>
          <w:p w14:paraId="21DEAC25" w14:textId="77777777" w:rsidR="00894798" w:rsidRPr="00894798" w:rsidRDefault="00894798" w:rsidP="00894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479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Iznos</w:t>
            </w:r>
          </w:p>
        </w:tc>
      </w:tr>
      <w:tr w:rsidR="00894798" w:rsidRPr="00894798" w14:paraId="4731493C" w14:textId="77777777" w:rsidTr="003B7E52">
        <w:trPr>
          <w:trHeight w:val="615"/>
        </w:trPr>
        <w:tc>
          <w:tcPr>
            <w:tcW w:w="34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7C19BE63" w14:textId="77777777" w:rsidR="00894798" w:rsidRPr="00894798" w:rsidRDefault="00894798" w:rsidP="00894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4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02A9CD30" w14:textId="77777777" w:rsidR="00894798" w:rsidRPr="00894798" w:rsidRDefault="00894798" w:rsidP="008947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4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848.000,00 kn</w:t>
            </w:r>
          </w:p>
        </w:tc>
      </w:tr>
      <w:tr w:rsidR="00894798" w:rsidRPr="00894798" w14:paraId="208CE182" w14:textId="77777777" w:rsidTr="003B7E52">
        <w:trPr>
          <w:trHeight w:val="315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48D34F60" w14:textId="77777777" w:rsidR="00894798" w:rsidRPr="00894798" w:rsidRDefault="00894798" w:rsidP="00894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4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6D98F8C7" w14:textId="77777777" w:rsidR="00894798" w:rsidRPr="00894798" w:rsidRDefault="00894798" w:rsidP="008947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4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2.990.200,00 kn</w:t>
            </w:r>
          </w:p>
        </w:tc>
      </w:tr>
      <w:tr w:rsidR="00894798" w:rsidRPr="00894798" w14:paraId="2D4ED9A4" w14:textId="77777777" w:rsidTr="003B7E52">
        <w:trPr>
          <w:trHeight w:val="315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57B3EB67" w14:textId="77777777" w:rsidR="00894798" w:rsidRPr="00894798" w:rsidRDefault="00894798" w:rsidP="00894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94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Financijsi</w:t>
            </w:r>
            <w:proofErr w:type="spellEnd"/>
            <w:r w:rsidRPr="00894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rashodi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2C5AAA95" w14:textId="77777777" w:rsidR="00894798" w:rsidRPr="00894798" w:rsidRDefault="00894798" w:rsidP="008947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4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 kn</w:t>
            </w:r>
          </w:p>
        </w:tc>
      </w:tr>
      <w:tr w:rsidR="00894798" w:rsidRPr="00894798" w14:paraId="76C44F04" w14:textId="77777777" w:rsidTr="003B7E52">
        <w:trPr>
          <w:trHeight w:val="315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4500354E" w14:textId="77777777" w:rsidR="00894798" w:rsidRPr="00894798" w:rsidRDefault="00894798" w:rsidP="00894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4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3409CB2D" w14:textId="77777777" w:rsidR="00894798" w:rsidRPr="00894798" w:rsidRDefault="00894798" w:rsidP="008947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4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 kn</w:t>
            </w:r>
          </w:p>
        </w:tc>
      </w:tr>
      <w:tr w:rsidR="00894798" w:rsidRPr="00894798" w14:paraId="4135294F" w14:textId="77777777" w:rsidTr="003B7E52">
        <w:trPr>
          <w:trHeight w:val="525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64184C34" w14:textId="77777777" w:rsidR="00894798" w:rsidRPr="00894798" w:rsidRDefault="00894798" w:rsidP="00894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4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13305B8F" w14:textId="77777777" w:rsidR="00894798" w:rsidRPr="00894798" w:rsidRDefault="00894798" w:rsidP="008947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4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2.720.000,00 kn</w:t>
            </w:r>
          </w:p>
        </w:tc>
      </w:tr>
      <w:tr w:rsidR="00894798" w:rsidRPr="00894798" w14:paraId="76919277" w14:textId="77777777" w:rsidTr="003B7E52">
        <w:trPr>
          <w:trHeight w:val="525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2F7E838F" w14:textId="77777777" w:rsidR="00894798" w:rsidRPr="00894798" w:rsidRDefault="00894798" w:rsidP="00894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4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 kućanstvima na temelju osiguranja i druge naknade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2389BFD8" w14:textId="77777777" w:rsidR="00894798" w:rsidRPr="00894798" w:rsidRDefault="00894798" w:rsidP="008947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4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414.000,00 kn</w:t>
            </w:r>
          </w:p>
        </w:tc>
      </w:tr>
      <w:tr w:rsidR="00894798" w:rsidRPr="00894798" w14:paraId="194B0438" w14:textId="77777777" w:rsidTr="003B7E52">
        <w:trPr>
          <w:trHeight w:val="315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49ACC6A2" w14:textId="77777777" w:rsidR="00894798" w:rsidRPr="00894798" w:rsidRDefault="00894798" w:rsidP="00894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4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044D01CF" w14:textId="77777777" w:rsidR="00894798" w:rsidRPr="00894798" w:rsidRDefault="00894798" w:rsidP="008947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4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828.500,00 kn</w:t>
            </w:r>
          </w:p>
        </w:tc>
      </w:tr>
      <w:tr w:rsidR="00894798" w:rsidRPr="00894798" w14:paraId="76B5D0BB" w14:textId="77777777" w:rsidTr="003B7E52">
        <w:trPr>
          <w:trHeight w:val="525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6DED9DA6" w14:textId="77777777" w:rsidR="00894798" w:rsidRPr="00894798" w:rsidRDefault="00894798" w:rsidP="00894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4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4FC5EA2E" w14:textId="77777777" w:rsidR="00894798" w:rsidRPr="00894798" w:rsidRDefault="00894798" w:rsidP="008947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4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3.261.000,00 kn</w:t>
            </w:r>
          </w:p>
        </w:tc>
      </w:tr>
    </w:tbl>
    <w:p w14:paraId="381596F6" w14:textId="77777777" w:rsidR="00894798" w:rsidRPr="00894798" w:rsidRDefault="00894798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left="720"/>
        <w:contextualSpacing/>
        <w:jc w:val="both"/>
        <w:rPr>
          <w:rFonts w:ascii="Calibri" w:eastAsia="Calibri" w:hAnsi="Calibri" w:cs="Calibri"/>
        </w:rPr>
      </w:pPr>
    </w:p>
    <w:p w14:paraId="2F4D2D1E" w14:textId="77777777" w:rsidR="00894798" w:rsidRPr="00894798" w:rsidRDefault="00894798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left="720"/>
        <w:contextualSpacing/>
        <w:jc w:val="both"/>
        <w:rPr>
          <w:rFonts w:ascii="Calibri" w:eastAsia="Calibri" w:hAnsi="Calibri" w:cs="Calibri"/>
        </w:rPr>
      </w:pPr>
    </w:p>
    <w:p w14:paraId="3EC891E5" w14:textId="4F3E0B65" w:rsidR="00894798" w:rsidRPr="00894798" w:rsidRDefault="005F2C31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Calibri" w:eastAsia="Calibri" w:hAnsi="Calibri" w:cs="Calibri"/>
        </w:rPr>
      </w:pPr>
      <w:r>
        <w:rPr>
          <w:noProof/>
          <w:lang w:eastAsia="hr-HR"/>
        </w:rPr>
        <w:drawing>
          <wp:inline distT="0" distB="0" distL="0" distR="0" wp14:anchorId="1A47F444" wp14:editId="7D5AC5EF">
            <wp:extent cx="5760720" cy="3406140"/>
            <wp:effectExtent l="57150" t="57150" r="125730" b="137160"/>
            <wp:docPr id="2" name="Grafikon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F91C84C" w14:textId="77777777" w:rsidR="00894798" w:rsidRPr="00894798" w:rsidRDefault="00894798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eastAsia="Calibri" w:hAnsi="Calibri" w:cs="Calibri"/>
        </w:rPr>
      </w:pPr>
    </w:p>
    <w:p w14:paraId="50D6F923" w14:textId="77777777" w:rsidR="005F2C31" w:rsidRDefault="005F2C31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eastAsia="Calibri" w:hAnsi="Arial" w:cs="Arial"/>
          <w:b/>
          <w:bCs/>
        </w:rPr>
      </w:pPr>
    </w:p>
    <w:p w14:paraId="62209D70" w14:textId="77777777" w:rsidR="005F2C31" w:rsidRDefault="005F2C31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eastAsia="Calibri" w:hAnsi="Arial" w:cs="Arial"/>
          <w:b/>
          <w:bCs/>
        </w:rPr>
      </w:pPr>
    </w:p>
    <w:p w14:paraId="1844B6D8" w14:textId="77777777" w:rsidR="005F2C31" w:rsidRDefault="005F2C31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eastAsia="Calibri" w:hAnsi="Arial" w:cs="Arial"/>
          <w:b/>
          <w:bCs/>
        </w:rPr>
      </w:pPr>
    </w:p>
    <w:p w14:paraId="1F273830" w14:textId="77777777" w:rsidR="005F2C31" w:rsidRDefault="005F2C31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eastAsia="Calibri" w:hAnsi="Arial" w:cs="Arial"/>
          <w:b/>
          <w:bCs/>
        </w:rPr>
      </w:pPr>
    </w:p>
    <w:p w14:paraId="2045CFC1" w14:textId="77777777" w:rsidR="005F2C31" w:rsidRDefault="005F2C31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eastAsia="Calibri" w:hAnsi="Arial" w:cs="Arial"/>
          <w:b/>
          <w:bCs/>
        </w:rPr>
      </w:pPr>
    </w:p>
    <w:p w14:paraId="06BDD7BE" w14:textId="77777777" w:rsidR="00894798" w:rsidRPr="00894798" w:rsidRDefault="00894798" w:rsidP="00894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eastAsia="Calibri" w:hAnsi="Arial" w:cs="Arial"/>
          <w:b/>
          <w:bCs/>
        </w:rPr>
      </w:pPr>
      <w:r w:rsidRPr="00894798">
        <w:rPr>
          <w:rFonts w:ascii="Arial" w:eastAsia="Calibri" w:hAnsi="Arial" w:cs="Arial"/>
          <w:b/>
          <w:bCs/>
        </w:rPr>
        <w:t xml:space="preserve">POSEBNI DIO </w:t>
      </w:r>
    </w:p>
    <w:p w14:paraId="3C0A361E" w14:textId="77777777" w:rsidR="00894798" w:rsidRPr="00894798" w:rsidRDefault="00894798" w:rsidP="00894798">
      <w:pPr>
        <w:tabs>
          <w:tab w:val="left" w:pos="708"/>
          <w:tab w:val="left" w:pos="13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ab/>
      </w:r>
      <w:r w:rsidRPr="00894798">
        <w:rPr>
          <w:rFonts w:ascii="Arial" w:eastAsia="Calibri" w:hAnsi="Arial" w:cs="Arial"/>
        </w:rPr>
        <w:tab/>
        <w:t xml:space="preserve"> </w:t>
      </w:r>
      <w:r w:rsidRPr="00894798">
        <w:rPr>
          <w:rFonts w:ascii="Arial" w:eastAsia="Calibri" w:hAnsi="Arial" w:cs="Arial"/>
        </w:rPr>
        <w:tab/>
      </w:r>
      <w:r w:rsidRPr="00894798">
        <w:rPr>
          <w:rFonts w:ascii="Arial" w:eastAsia="Calibri" w:hAnsi="Arial" w:cs="Arial"/>
        </w:rPr>
        <w:tab/>
      </w:r>
      <w:r w:rsidRPr="00894798">
        <w:rPr>
          <w:rFonts w:ascii="Arial" w:eastAsia="Calibri" w:hAnsi="Arial" w:cs="Arial"/>
        </w:rPr>
        <w:tab/>
      </w:r>
      <w:r w:rsidRPr="00894798">
        <w:rPr>
          <w:rFonts w:ascii="Arial" w:eastAsia="Calibri" w:hAnsi="Arial" w:cs="Arial"/>
        </w:rPr>
        <w:tab/>
      </w:r>
    </w:p>
    <w:p w14:paraId="6ECAE92C" w14:textId="23FBC9A5" w:rsidR="00894798" w:rsidRPr="00894798" w:rsidRDefault="005F2C31" w:rsidP="005F2C31">
      <w:pPr>
        <w:tabs>
          <w:tab w:val="left" w:pos="993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894798" w:rsidRPr="00894798">
        <w:rPr>
          <w:rFonts w:ascii="Arial" w:eastAsia="Calibri" w:hAnsi="Arial" w:cs="Arial"/>
        </w:rPr>
        <w:t>Ukupna visina planiranih prihoda i primitaka mora biti istovjetna ukupnoj visini planiranih rashoda i izdataka.</w:t>
      </w:r>
    </w:p>
    <w:p w14:paraId="7B93F221" w14:textId="0BEACB3F" w:rsidR="00894798" w:rsidRPr="00894798" w:rsidRDefault="005F2C31" w:rsidP="005F2C31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894798" w:rsidRPr="00894798">
        <w:rPr>
          <w:rFonts w:ascii="Arial" w:eastAsia="Calibri" w:hAnsi="Arial" w:cs="Arial"/>
        </w:rPr>
        <w:t>Rashodi i izdaci Proračuna Općine Netretić za 202</w:t>
      </w:r>
      <w:r>
        <w:rPr>
          <w:rFonts w:ascii="Arial" w:eastAsia="Calibri" w:hAnsi="Arial" w:cs="Arial"/>
        </w:rPr>
        <w:t xml:space="preserve">2. godinu planirani su u iznosu </w:t>
      </w:r>
      <w:r w:rsidR="00894798" w:rsidRPr="00894798">
        <w:rPr>
          <w:rFonts w:ascii="Arial" w:eastAsia="Calibri" w:hAnsi="Arial" w:cs="Arial"/>
        </w:rPr>
        <w:t>od</w:t>
      </w:r>
      <w:r>
        <w:rPr>
          <w:rFonts w:ascii="Arial" w:eastAsia="Calibri" w:hAnsi="Arial" w:cs="Arial"/>
        </w:rPr>
        <w:t xml:space="preserve"> </w:t>
      </w:r>
      <w:r w:rsidR="00894798" w:rsidRPr="00894798">
        <w:rPr>
          <w:rFonts w:ascii="Arial" w:eastAsia="Calibri" w:hAnsi="Arial" w:cs="Arial"/>
        </w:rPr>
        <w:t xml:space="preserve">11.146.700,00 kuna. Svi rashodi i izdaci razvrstani su prema programima, aktivnostima, tekućim i kapitalnim projektima. </w:t>
      </w:r>
    </w:p>
    <w:p w14:paraId="75BCE089" w14:textId="77777777" w:rsidR="00894798" w:rsidRPr="00894798" w:rsidRDefault="00894798" w:rsidP="005F2C31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ab/>
        <w:t xml:space="preserve">Najznačajniji dio rashoda odnosi se na  rashode za nabavu nefinancijske imovine i to u iznosu od 3.261.000,00 kuna ili 29,26 ukupnih rashoda i izdataka proračuna. Također su planirani i materijalni rashodi u iznosu od 2.990.200,00 kn ili 26,83% ukupnih rashoda i izdataka proračuna, rashodi za zaposlene u iznosu od 848.000,00 kuna ili 7,61% ukupnih rashoda i izdataka proračuna, ostali rashodi u iznosu od 828.500,00 kn ili 7,43% ukupnih rashoda i izdataka proračuna, pomoći dane u inozemstvo i unutar opće države u iznosu od 2.720.000,00 kuna ili 24,40% ukupnih rashoda i izdataka proračuna, naknade građanima i kućanstvima na temelju osiguranja i druge naknade u iznosu od 414.000,00 kuna ili 3,72% od ukupnih rashoda  i izdataka proračuna, financijski rashodi u iznosu od 35.000,00 kuna ili 0,31% od ukupnih rashoda i izdataka proračuna i subvencije u iznosu od 50.000,00 kuna ili 0,45% od ukupnih rashoda i izdataka. </w:t>
      </w:r>
    </w:p>
    <w:p w14:paraId="69FECE0B" w14:textId="313FE7DF" w:rsidR="00894798" w:rsidRPr="00894798" w:rsidRDefault="00894798" w:rsidP="005F2C31">
      <w:pPr>
        <w:tabs>
          <w:tab w:val="left" w:pos="993"/>
          <w:tab w:val="left" w:pos="7290"/>
        </w:tabs>
        <w:jc w:val="both"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 xml:space="preserve">                 Proračun Općine Netretić za 2022. godinu sastoji se od sedamnaest  programa.</w:t>
      </w:r>
    </w:p>
    <w:p w14:paraId="6F3379F3" w14:textId="77777777" w:rsidR="00894798" w:rsidRPr="00894798" w:rsidRDefault="00894798" w:rsidP="005F2C31">
      <w:pPr>
        <w:tabs>
          <w:tab w:val="left" w:pos="709"/>
          <w:tab w:val="left" w:pos="993"/>
          <w:tab w:val="left" w:pos="7290"/>
        </w:tabs>
        <w:spacing w:after="0"/>
        <w:jc w:val="both"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 xml:space="preserve">                 U Programu 1001: Javna uprava i administracija Općinskog vijeća planirana su sredstva za rad Općinskog vijeća Općine Netretić u iznosu od 65.000,00 kuna. Cilj je razvoj konkurentnog i održivog gospodarstva. Izvor su opći prihodi i primici.</w:t>
      </w:r>
    </w:p>
    <w:p w14:paraId="24DA4615" w14:textId="77777777" w:rsidR="00894798" w:rsidRPr="00894798" w:rsidRDefault="00894798" w:rsidP="00894798">
      <w:pPr>
        <w:tabs>
          <w:tab w:val="left" w:pos="7290"/>
        </w:tabs>
        <w:spacing w:after="0"/>
        <w:jc w:val="both"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 xml:space="preserve">                 U Programu 1002: Javna uprava i administracija planirana su sredstva u iznosu od  2.317.000,00 kuna a odnose se na administrativne poslove Jedinstvenog upravnog odjela u iznosu od  1.962.000,00 kuna, redovno održavanje zgrada u iznosu od 50.000,00 kuna, javne radove 35.000,00 kuna, nabavu nefinancijske imovine u iznosu od 220.000,00 kuna i proračunsku zalihu u iznosu od 50.000,00 kuna. Cilj je razvoj konkurentnog i održivog gospodarstva.  Izvor su opći prihodi i primici, vlastiti prihodi, pomoći i višak iz prethodne godine.</w:t>
      </w:r>
    </w:p>
    <w:p w14:paraId="64BF4F32" w14:textId="77777777" w:rsidR="00894798" w:rsidRPr="00894798" w:rsidRDefault="00894798" w:rsidP="00894798">
      <w:pPr>
        <w:tabs>
          <w:tab w:val="left" w:pos="7290"/>
        </w:tabs>
        <w:spacing w:after="0"/>
        <w:jc w:val="both"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 xml:space="preserve">                 U Programu 1003: Potpora poljoprivredi planirana su sredstva u iznosu od 120.000,00 kuna a odnose se na rashode za  usluge u iznosu od 70.000,00 kuna i subvencije trgovačkim društvima, poljoprivrednicima i obrtnicima izvan javnog sektora u iznosu od 50.000,00 kuna. Cilj je razvoj konkurentnog i održivog gospodarstva. Izvor su opći prihodi i primici.</w:t>
      </w:r>
    </w:p>
    <w:p w14:paraId="1A4E1A84" w14:textId="77777777" w:rsidR="00894798" w:rsidRPr="00894798" w:rsidRDefault="00894798" w:rsidP="005F2C31">
      <w:pPr>
        <w:tabs>
          <w:tab w:val="left" w:pos="993"/>
          <w:tab w:val="left" w:pos="7290"/>
        </w:tabs>
        <w:spacing w:after="0"/>
        <w:jc w:val="both"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 xml:space="preserve">                 U Programu 1004: Promicanje kulture planirana su sredstva u iznosu od 310.000,00 kuna  a odnose se na ostale nespomenute rashode poslovanja u iznosu od 50.000,00 kuna, tekuće donacije u iznosu od 50.000,00 kuna, kapitalne donacije u iznosu od 50.000,00 kuna i  kapitalni projekt: Obnova Starog grada Novigrad u iznosu od 160.000,00 kuna. Cilj je podizanje razina kvalitete života. Izvor su opći prihodi i primici, pomoći, prihodi za  posebne namjene i višak iz prethodne godine.</w:t>
      </w:r>
    </w:p>
    <w:p w14:paraId="415BFC44" w14:textId="742FBE19" w:rsidR="00894798" w:rsidRPr="00894798" w:rsidRDefault="005F2C31" w:rsidP="005F2C31">
      <w:pPr>
        <w:tabs>
          <w:tab w:val="left" w:pos="993"/>
          <w:tab w:val="left" w:pos="7290"/>
        </w:tabs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</w:t>
      </w:r>
      <w:r w:rsidR="00894798" w:rsidRPr="00894798">
        <w:rPr>
          <w:rFonts w:ascii="Arial" w:eastAsia="Calibri" w:hAnsi="Arial" w:cs="Arial"/>
        </w:rPr>
        <w:t>U Programu 1005: Razvoj sporta i rekreacije planirana su sredstva u iznosu od 95.000,00 kuna  a odnose se na tekuće donacije sportskim udrugama u iznosu od 45.000,00 kuna i kapitalne donacije sportskim udrugama u iznosu od 50.000,00 kuna. Cilj je podizanje razina kvalitete života. Izvor su pomoći.</w:t>
      </w:r>
    </w:p>
    <w:p w14:paraId="00E98D08" w14:textId="77777777" w:rsidR="00894798" w:rsidRPr="00894798" w:rsidRDefault="00894798" w:rsidP="005F2C31">
      <w:pPr>
        <w:tabs>
          <w:tab w:val="left" w:pos="993"/>
          <w:tab w:val="left" w:pos="7290"/>
        </w:tabs>
        <w:spacing w:after="0"/>
        <w:jc w:val="both"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 xml:space="preserve">                 </w:t>
      </w:r>
      <w:bookmarkStart w:id="0" w:name="_Hlk24667003"/>
      <w:r w:rsidRPr="00894798">
        <w:rPr>
          <w:rFonts w:ascii="Arial" w:eastAsia="Calibri" w:hAnsi="Arial" w:cs="Arial"/>
        </w:rPr>
        <w:t xml:space="preserve">U Programu 1006: Razvoj civilnog društva  planirana su sredstva u iznosu od 34.700,00 kuna  a odnose se na  financiranje rada </w:t>
      </w:r>
      <w:bookmarkEnd w:id="0"/>
      <w:r w:rsidRPr="00894798">
        <w:rPr>
          <w:rFonts w:ascii="Arial" w:eastAsia="Calibri" w:hAnsi="Arial" w:cs="Arial"/>
        </w:rPr>
        <w:t>političkih stranaka u iznosu od 13.200,00 kuna i humanitarnu djelatnost Crvenog križa u iznosu od 21.500,00 kuna</w:t>
      </w:r>
      <w:bookmarkStart w:id="1" w:name="_Hlk24667162"/>
      <w:r w:rsidRPr="00894798">
        <w:rPr>
          <w:rFonts w:ascii="Arial" w:eastAsia="Calibri" w:hAnsi="Arial" w:cs="Arial"/>
        </w:rPr>
        <w:t>.  Cilj je podizanje razine kvalitete života. Izvor su opći prihodi i primici.</w:t>
      </w:r>
    </w:p>
    <w:bookmarkEnd w:id="1"/>
    <w:p w14:paraId="1AD41498" w14:textId="77777777" w:rsidR="00894798" w:rsidRPr="00894798" w:rsidRDefault="00894798" w:rsidP="005F2C31">
      <w:pPr>
        <w:tabs>
          <w:tab w:val="left" w:pos="993"/>
          <w:tab w:val="left" w:pos="7290"/>
        </w:tabs>
        <w:spacing w:after="0"/>
        <w:jc w:val="both"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 xml:space="preserve">                U Programu 1007: Donacije organizacijama civilnog društva  planirana su sredstva u iznosu od 21.000,00 kuna  a odnose se na  tekuće donacije u iznosu od 5.000,00 kuna i </w:t>
      </w:r>
      <w:r w:rsidRPr="00894798">
        <w:rPr>
          <w:rFonts w:ascii="Arial" w:eastAsia="Calibri" w:hAnsi="Arial" w:cs="Arial"/>
        </w:rPr>
        <w:lastRenderedPageBreak/>
        <w:t>potpore za lovstvo u iznosu od  16.000,00 kuna. Cilj je podizanje razine kvalitete života. Izvor su opći prihodi i primici.</w:t>
      </w:r>
    </w:p>
    <w:p w14:paraId="5526D6E6" w14:textId="77777777" w:rsidR="00894798" w:rsidRPr="00894798" w:rsidRDefault="00894798" w:rsidP="00894798">
      <w:pPr>
        <w:tabs>
          <w:tab w:val="left" w:pos="7290"/>
        </w:tabs>
        <w:spacing w:after="0"/>
        <w:jc w:val="both"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 xml:space="preserve">                U Programu 1008: Organiziranje i provođenje zaštite i spašavanja  planirana su sredstva u iznosu od 445.000,00 kuna  a odnose se na  protupožarnu zaštitu u iznosu od 430.000,00 kuna, </w:t>
      </w:r>
    </w:p>
    <w:p w14:paraId="4E0F0611" w14:textId="77777777" w:rsidR="00894798" w:rsidRPr="00894798" w:rsidRDefault="00894798" w:rsidP="00894798">
      <w:pPr>
        <w:tabs>
          <w:tab w:val="left" w:pos="7290"/>
        </w:tabs>
        <w:spacing w:after="0"/>
        <w:jc w:val="both"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>financiranje rada službi spašavanja u iznosu od 10.000,00 kuna i vježbu civilne zaštite u iznosu od 5.000,00 kuna. Cilj je razvoj konkurentnog i održivog gospodarstva.  Izvor su opći prihodi i primici i pomoći.</w:t>
      </w:r>
    </w:p>
    <w:p w14:paraId="31688781" w14:textId="77777777" w:rsidR="00894798" w:rsidRPr="00894798" w:rsidRDefault="00894798" w:rsidP="00817222">
      <w:pPr>
        <w:tabs>
          <w:tab w:val="left" w:pos="993"/>
          <w:tab w:val="left" w:pos="7290"/>
        </w:tabs>
        <w:spacing w:after="0"/>
        <w:jc w:val="both"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 xml:space="preserve">                </w:t>
      </w:r>
      <w:bookmarkStart w:id="2" w:name="_GoBack"/>
      <w:bookmarkEnd w:id="2"/>
      <w:r w:rsidRPr="00894798">
        <w:rPr>
          <w:rFonts w:ascii="Arial" w:eastAsia="Calibri" w:hAnsi="Arial" w:cs="Arial"/>
        </w:rPr>
        <w:t>U Programu 1009: Predškolski odgoj  planirana su sredstva u iznosu od 559.200,00 kuna  a odnose se na rashode za materijal i energiju u iznosu od 1.100,00 kuna, rashode za usluge u iznosu od 8.100,00 kuna i pomoći proračunskim korisnicima drugih proračuna u iznosu od 550.000,00 kuna. Cilj je razvoj ljudskih potencijala. Izvor su opći prihodi i primici i pomoći.</w:t>
      </w:r>
    </w:p>
    <w:p w14:paraId="122324BA" w14:textId="77777777" w:rsidR="00894798" w:rsidRPr="00894798" w:rsidRDefault="00894798" w:rsidP="00894798">
      <w:pPr>
        <w:tabs>
          <w:tab w:val="left" w:pos="7290"/>
        </w:tabs>
        <w:spacing w:after="0"/>
        <w:jc w:val="both"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 xml:space="preserve">               U Programu 1010: Osnovno, srednjoškolsko, više i visoko obrazovanje planirana su sredstva u iznosu od 2.479.000,00 kuna  a odnose se na osnovno obrazovanje za pomoći proračunskim korisnicima drugih proračuna u iznosu od 2.170.000,00 kuna i ostale naknade građanima i kućanstvima iz proračuna u iznosu od 35.000,00 kuna, više srednjoškolsko obrazovanje za ostale naknade građanima i kućanstvima iz proračuna u iznosu od 200.000,00 kuna, te više i visoko obrazovanje za ostale naknade građanima i kućanstvima iz proračuna u iznosu od 74.000,00 kuna. Cilj je razvoj ljudskih potencijala. Izvor su opći prihodi i primici, pomoći i višak prihoda iz prethodne godine.</w:t>
      </w:r>
    </w:p>
    <w:p w14:paraId="6944A446" w14:textId="74245F26" w:rsidR="00894798" w:rsidRPr="00894798" w:rsidRDefault="00817222" w:rsidP="00817222">
      <w:pPr>
        <w:tabs>
          <w:tab w:val="left" w:pos="993"/>
          <w:tab w:val="left" w:pos="7290"/>
        </w:tabs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</w:t>
      </w:r>
      <w:r w:rsidR="00894798" w:rsidRPr="00894798">
        <w:rPr>
          <w:rFonts w:ascii="Arial" w:eastAsia="Calibri" w:hAnsi="Arial" w:cs="Arial"/>
        </w:rPr>
        <w:t xml:space="preserve">U Programu 1011: Socijalna skrb  planirana su sredstva u iznosu od 105.000,00 kuna  a odnose se na pomoć socijalno ugroženim obiteljima u iznosu od 65.000,00 kuna i potpore za novorođeno dijete u iznosu od 40.000,00 kuna. Cilj je podizanje razine kvalitete života i razvoj ljudskih potencijala.  Izvor su opći prihodi i primici te pomoći.  </w:t>
      </w:r>
    </w:p>
    <w:p w14:paraId="095EEDD2" w14:textId="77777777" w:rsidR="00894798" w:rsidRPr="00894798" w:rsidRDefault="00894798" w:rsidP="00894798">
      <w:pPr>
        <w:tabs>
          <w:tab w:val="left" w:pos="7290"/>
        </w:tabs>
        <w:spacing w:after="0"/>
        <w:jc w:val="both"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 xml:space="preserve">              U Programu 1012: Održavanje komunalne infrastrukture planirana su sredstva u iznosu od 1.190.000,00 kuna  a odnose se na  troškove i  održavanja javne rasvjete u iznosu od 390.000,00 kuna, održavanje kapitalnih objekata – cesta u iznosu od 700.000,00 kuna te održavanje javnih površina u iznosu od 100.000,00 kuna. Cilj je razvoj konkurentnog i održivog gospodarstva.   Izvor su prihodi za posebne namjene, pomoći i višak iz prethodne godine. Očekivani rezultat Programa je unaprjeđenje kvalitete života na području Općine Netretić.</w:t>
      </w:r>
    </w:p>
    <w:p w14:paraId="19D64358" w14:textId="789F5DC2" w:rsidR="00894798" w:rsidRPr="00894798" w:rsidRDefault="00817222" w:rsidP="00817222">
      <w:pPr>
        <w:tabs>
          <w:tab w:val="left" w:pos="993"/>
          <w:tab w:val="left" w:pos="7290"/>
        </w:tabs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</w:t>
      </w:r>
      <w:r w:rsidR="00894798" w:rsidRPr="00894798">
        <w:rPr>
          <w:rFonts w:ascii="Arial" w:eastAsia="Calibri" w:hAnsi="Arial" w:cs="Arial"/>
        </w:rPr>
        <w:t>U Programu 1013: Upravljanje imovinom  planirana su sredstva u iznosu od 2.921.000,00 kuna  a odnose se na  kapitalni projekt – Izrada projektne dokumentacije za obnovu zgrade Općine i uređenje u iznosu od 21.000,00 kuna, modernizaciju nerazvrstanih prometnica na području Općine Netretić u iznosu od 400.000,00 kuna, nabavu prometnih znakova u iznosu od 20.000,00 kuna, izgradnju vodoopskrbnog cjevovoda za Radnu zonu „</w:t>
      </w:r>
      <w:proofErr w:type="spellStart"/>
      <w:r w:rsidR="00894798" w:rsidRPr="00894798">
        <w:rPr>
          <w:rFonts w:ascii="Arial" w:eastAsia="Calibri" w:hAnsi="Arial" w:cs="Arial"/>
        </w:rPr>
        <w:t>Maletići</w:t>
      </w:r>
      <w:proofErr w:type="spellEnd"/>
      <w:r w:rsidR="00894798" w:rsidRPr="00894798">
        <w:rPr>
          <w:rFonts w:ascii="Arial" w:eastAsia="Calibri" w:hAnsi="Arial" w:cs="Arial"/>
        </w:rPr>
        <w:t xml:space="preserve">“ u iznosu od  40.000,00 kuna – kapitalne pomoći trgovačkim društvima izvan javnog sektora, modernizaciju javne rasvjete u iznosu od 270.000,00 kuna, izradu projektne dokumentacije za višenamjenski društveni objekt u </w:t>
      </w:r>
      <w:proofErr w:type="spellStart"/>
      <w:r w:rsidR="00894798" w:rsidRPr="00894798">
        <w:rPr>
          <w:rFonts w:ascii="Arial" w:eastAsia="Calibri" w:hAnsi="Arial" w:cs="Arial"/>
        </w:rPr>
        <w:t>Jarčem</w:t>
      </w:r>
      <w:proofErr w:type="spellEnd"/>
      <w:r w:rsidR="00894798" w:rsidRPr="00894798">
        <w:rPr>
          <w:rFonts w:ascii="Arial" w:eastAsia="Calibri" w:hAnsi="Arial" w:cs="Arial"/>
        </w:rPr>
        <w:t xml:space="preserve"> Polju u iznosu od   70.000,00 kuna, projektnu dokumentaciju, imovinsko pravno stanje i opremanje  za stambeno naselje </w:t>
      </w:r>
      <w:proofErr w:type="spellStart"/>
      <w:r w:rsidR="00894798" w:rsidRPr="00894798">
        <w:rPr>
          <w:rFonts w:ascii="Arial" w:eastAsia="Calibri" w:hAnsi="Arial" w:cs="Arial"/>
        </w:rPr>
        <w:t>Dubravci</w:t>
      </w:r>
      <w:proofErr w:type="spellEnd"/>
      <w:r w:rsidR="00894798" w:rsidRPr="00894798">
        <w:rPr>
          <w:rFonts w:ascii="Arial" w:eastAsia="Calibri" w:hAnsi="Arial" w:cs="Arial"/>
        </w:rPr>
        <w:t xml:space="preserve"> u iznosu od 20.000,00 kuna, izradu projektne dokumentacije za cestu u MO </w:t>
      </w:r>
      <w:proofErr w:type="spellStart"/>
      <w:r w:rsidR="00894798" w:rsidRPr="00894798">
        <w:rPr>
          <w:rFonts w:ascii="Arial" w:eastAsia="Calibri" w:hAnsi="Arial" w:cs="Arial"/>
        </w:rPr>
        <w:t>Mračin</w:t>
      </w:r>
      <w:proofErr w:type="spellEnd"/>
      <w:r w:rsidR="00894798" w:rsidRPr="00894798">
        <w:rPr>
          <w:rFonts w:ascii="Arial" w:eastAsia="Calibri" w:hAnsi="Arial" w:cs="Arial"/>
        </w:rPr>
        <w:t xml:space="preserve"> od križanja do zaseoka Sladići, </w:t>
      </w:r>
      <w:proofErr w:type="spellStart"/>
      <w:r w:rsidR="00894798" w:rsidRPr="00894798">
        <w:rPr>
          <w:rFonts w:ascii="Arial" w:eastAsia="Calibri" w:hAnsi="Arial" w:cs="Arial"/>
        </w:rPr>
        <w:t>Trupkovići</w:t>
      </w:r>
      <w:proofErr w:type="spellEnd"/>
      <w:r w:rsidR="00894798" w:rsidRPr="00894798">
        <w:rPr>
          <w:rFonts w:ascii="Arial" w:eastAsia="Calibri" w:hAnsi="Arial" w:cs="Arial"/>
        </w:rPr>
        <w:t xml:space="preserve">, </w:t>
      </w:r>
      <w:proofErr w:type="spellStart"/>
      <w:r w:rsidR="00894798" w:rsidRPr="00894798">
        <w:rPr>
          <w:rFonts w:ascii="Arial" w:eastAsia="Calibri" w:hAnsi="Arial" w:cs="Arial"/>
        </w:rPr>
        <w:t>Banjavčići</w:t>
      </w:r>
      <w:proofErr w:type="spellEnd"/>
      <w:r w:rsidR="00894798" w:rsidRPr="00894798">
        <w:rPr>
          <w:rFonts w:ascii="Arial" w:eastAsia="Calibri" w:hAnsi="Arial" w:cs="Arial"/>
        </w:rPr>
        <w:t xml:space="preserve">  NC MR-01 u iznosu od 50.000,00 kuna,  izgradnju dječjeg vrtića u iznosu od 1.000.000,00 kuna, izgradnju Športsko – rekreacijskog centra „Dobra“ 500.000,00 kuna, sanaciju prilaza i pročelja mrtvačnice Prilišće u iznosu od 40.000,00 kuna, uređenje mrtvačnice u prostorijama DVD-a Kunići u iznosu od 200.000,00 kuna, postavljanje ograde na Društvenom domu </w:t>
      </w:r>
      <w:proofErr w:type="spellStart"/>
      <w:r w:rsidR="00894798" w:rsidRPr="00894798">
        <w:rPr>
          <w:rFonts w:ascii="Arial" w:eastAsia="Calibri" w:hAnsi="Arial" w:cs="Arial"/>
        </w:rPr>
        <w:t>Skupica</w:t>
      </w:r>
      <w:proofErr w:type="spellEnd"/>
      <w:r w:rsidR="00894798" w:rsidRPr="00894798">
        <w:rPr>
          <w:rFonts w:ascii="Arial" w:eastAsia="Calibri" w:hAnsi="Arial" w:cs="Arial"/>
        </w:rPr>
        <w:t xml:space="preserve"> 20.000,00 kuna i izgradnju potpornog zida na groblju Vukova Gorica 270.000,00 kuna.  Cilj je razvoj konkurentnog i održivog gospodarstva i podizanje razine kvalitete života. Izvor su opći prihodi i primici, prihodi za posebne namjene, donacije,  pomoći, prihodi od prodaje nefinancijske imovine i nadoknade štete, prihodi po posebnim propisima i višak iz prethodne godine. Očekivani rezultat je </w:t>
      </w:r>
      <w:r w:rsidR="00894798" w:rsidRPr="00894798">
        <w:rPr>
          <w:rFonts w:ascii="Arial" w:eastAsia="Calibri" w:hAnsi="Arial" w:cs="Arial"/>
        </w:rPr>
        <w:lastRenderedPageBreak/>
        <w:t>povećanje razine kvalitete života stanovnika na području Općine Netretić, bolja prometna povezanost sa susjednim općinama i gradovima te kvalitetniji uvjeti života stanovnika.</w:t>
      </w:r>
    </w:p>
    <w:p w14:paraId="4BE24755" w14:textId="77777777" w:rsidR="00894798" w:rsidRPr="00894798" w:rsidRDefault="00894798" w:rsidP="00894798">
      <w:pPr>
        <w:tabs>
          <w:tab w:val="left" w:pos="7290"/>
        </w:tabs>
        <w:spacing w:after="0"/>
        <w:jc w:val="both"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 xml:space="preserve">                U Programu 1014: Promicanje turizma planirana su sredstva u iznosu od 82.000,00 kuna  a odnose se na sufinanciranje rada područne Turističke zajednice u iznosu od 70.000,00 kuna i manifestaciju „Jesen u </w:t>
      </w:r>
      <w:proofErr w:type="spellStart"/>
      <w:r w:rsidRPr="00894798">
        <w:rPr>
          <w:rFonts w:ascii="Arial" w:eastAsia="Calibri" w:hAnsi="Arial" w:cs="Arial"/>
        </w:rPr>
        <w:t>Pauriji</w:t>
      </w:r>
      <w:proofErr w:type="spellEnd"/>
      <w:r w:rsidRPr="00894798">
        <w:rPr>
          <w:rFonts w:ascii="Arial" w:eastAsia="Calibri" w:hAnsi="Arial" w:cs="Arial"/>
        </w:rPr>
        <w:t xml:space="preserve">“ u iznosu od 12.000,00 kuna. Očekivani rezultat je bolja turistička ponuda i veća posjećenost turističkih atrakcija. Izvor su opći prihodi i primici, prihodi za posebne namjene i pomoći. </w:t>
      </w:r>
    </w:p>
    <w:p w14:paraId="42D762D8" w14:textId="77777777" w:rsidR="00894798" w:rsidRPr="00894798" w:rsidRDefault="00894798" w:rsidP="00894798">
      <w:pPr>
        <w:tabs>
          <w:tab w:val="left" w:pos="7290"/>
        </w:tabs>
        <w:spacing w:after="0"/>
        <w:jc w:val="both"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 xml:space="preserve">                U Programu 1015: Gospodarenje otpadom planirana su sredstva u iznosu od 290.000,00 kuna  a odnose se na naknadu za odlaganje i zbrinjavanje komunalnog otpada u iznosu od 150.000,00 kuna, sanaciju divljih deponija u iznosu od 100.000,00 kuna i  rad mobilnog </w:t>
      </w:r>
      <w:proofErr w:type="spellStart"/>
      <w:r w:rsidRPr="00894798">
        <w:rPr>
          <w:rFonts w:ascii="Arial" w:eastAsia="Calibri" w:hAnsi="Arial" w:cs="Arial"/>
        </w:rPr>
        <w:t>reciklažnog</w:t>
      </w:r>
      <w:proofErr w:type="spellEnd"/>
      <w:r w:rsidRPr="00894798">
        <w:rPr>
          <w:rFonts w:ascii="Arial" w:eastAsia="Calibri" w:hAnsi="Arial" w:cs="Arial"/>
        </w:rPr>
        <w:t xml:space="preserve">  dvorišta 40.000,00 kuna. Očekivani rezultat je veća kultura u razdvajanju otpada.  Izvor su prihodi za posebne namjene i pomoći. </w:t>
      </w:r>
    </w:p>
    <w:p w14:paraId="5BF7BF93" w14:textId="77777777" w:rsidR="00894798" w:rsidRPr="00894798" w:rsidRDefault="00894798" w:rsidP="00894798">
      <w:pPr>
        <w:tabs>
          <w:tab w:val="left" w:pos="7290"/>
        </w:tabs>
        <w:spacing w:after="0"/>
        <w:jc w:val="both"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 xml:space="preserve">               U Programu 1016: Udio u trgovačkom društvu planirana su sredstva u iznosu od 0,00 kuna. </w:t>
      </w:r>
    </w:p>
    <w:p w14:paraId="44DA973C" w14:textId="08E0159F" w:rsidR="00894798" w:rsidRPr="00894798" w:rsidRDefault="00894798" w:rsidP="00817222">
      <w:pPr>
        <w:tabs>
          <w:tab w:val="left" w:pos="993"/>
          <w:tab w:val="left" w:pos="7290"/>
        </w:tabs>
        <w:spacing w:after="0"/>
        <w:jc w:val="both"/>
        <w:rPr>
          <w:rFonts w:ascii="Arial" w:eastAsia="Calibri" w:hAnsi="Arial" w:cs="Arial"/>
        </w:rPr>
      </w:pPr>
      <w:r w:rsidRPr="00894798">
        <w:rPr>
          <w:rFonts w:ascii="Arial" w:eastAsia="Calibri" w:hAnsi="Arial" w:cs="Arial"/>
        </w:rPr>
        <w:t xml:space="preserve">               U Programu 1017: Kapitalne pomoći trgovačkom društvu planirana su sredstva u iznosu od 118.000,00 kuna a odnosi se na kapitalnu pomoć trgovačkom društvu Komunalno Duga Resa d.o.o.</w:t>
      </w:r>
      <w:r w:rsidR="00817222">
        <w:rPr>
          <w:rFonts w:ascii="Arial" w:eastAsia="Calibri" w:hAnsi="Arial" w:cs="Arial"/>
        </w:rPr>
        <w:t xml:space="preserve"> </w:t>
      </w:r>
      <w:r w:rsidRPr="00894798">
        <w:rPr>
          <w:rFonts w:ascii="Arial" w:eastAsia="Calibri" w:hAnsi="Arial" w:cs="Arial"/>
        </w:rPr>
        <w:t xml:space="preserve">koje se bavi opskrbom vode stanovništva na području Općine Netretić u iznosu od 50.000,00 kuna i kapitalnu pomoć trgovačkom društvu Komunalno Netretić d.o.o. u iznosu od 62.800,00 kuna. Očekivani rezultat je bolje i učinkovitije zbrinjavanje komunalnog otpada. Izvor su pomoći i višak iz prethodne godine. </w:t>
      </w:r>
    </w:p>
    <w:p w14:paraId="24EF1C23" w14:textId="77777777" w:rsidR="002A59DB" w:rsidRPr="00894798" w:rsidRDefault="002A59DB" w:rsidP="00894798"/>
    <w:sectPr w:rsidR="002A59DB" w:rsidRPr="00894798" w:rsidSect="00894798">
      <w:headerReference w:type="default" r:id="rId10"/>
      <w:pgSz w:w="11906" w:h="16838"/>
      <w:pgMar w:top="1417" w:right="1417" w:bottom="1417" w:left="1417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FA591" w14:textId="77777777" w:rsidR="008969D9" w:rsidRDefault="008969D9" w:rsidP="000C6146">
      <w:pPr>
        <w:spacing w:after="0" w:line="240" w:lineRule="auto"/>
      </w:pPr>
      <w:r>
        <w:separator/>
      </w:r>
    </w:p>
  </w:endnote>
  <w:endnote w:type="continuationSeparator" w:id="0">
    <w:p w14:paraId="14143951" w14:textId="77777777" w:rsidR="008969D9" w:rsidRDefault="008969D9" w:rsidP="000C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C78CF" w14:textId="77777777" w:rsidR="008969D9" w:rsidRDefault="008969D9" w:rsidP="000C6146">
      <w:pPr>
        <w:spacing w:after="0" w:line="240" w:lineRule="auto"/>
      </w:pPr>
      <w:r>
        <w:separator/>
      </w:r>
    </w:p>
  </w:footnote>
  <w:footnote w:type="continuationSeparator" w:id="0">
    <w:p w14:paraId="709C20A5" w14:textId="77777777" w:rsidR="008969D9" w:rsidRDefault="008969D9" w:rsidP="000C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086264"/>
      <w:docPartObj>
        <w:docPartGallery w:val="Page Numbers (Top of Page)"/>
        <w:docPartUnique/>
      </w:docPartObj>
    </w:sdtPr>
    <w:sdtContent>
      <w:p w14:paraId="02D1C2F9" w14:textId="36A28F10" w:rsidR="00894798" w:rsidRDefault="00894798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222">
          <w:rPr>
            <w:noProof/>
          </w:rPr>
          <w:t>30</w:t>
        </w:r>
        <w:r>
          <w:fldChar w:fldCharType="end"/>
        </w:r>
      </w:p>
    </w:sdtContent>
  </w:sdt>
  <w:p w14:paraId="1AEA5764" w14:textId="77777777" w:rsidR="00894798" w:rsidRDefault="0089479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638C1"/>
    <w:multiLevelType w:val="hybridMultilevel"/>
    <w:tmpl w:val="5C9AD9D2"/>
    <w:lvl w:ilvl="0" w:tplc="0F0A5026">
      <w:start w:val="1"/>
      <w:numFmt w:val="bullet"/>
      <w:pStyle w:val="crti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B5303"/>
    <w:multiLevelType w:val="hybridMultilevel"/>
    <w:tmpl w:val="B916F4AA"/>
    <w:lvl w:ilvl="0" w:tplc="A7980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98"/>
    <w:rsid w:val="000065EE"/>
    <w:rsid w:val="00010339"/>
    <w:rsid w:val="000155FB"/>
    <w:rsid w:val="0001587F"/>
    <w:rsid w:val="00016F49"/>
    <w:rsid w:val="00027641"/>
    <w:rsid w:val="00032771"/>
    <w:rsid w:val="00040E74"/>
    <w:rsid w:val="00041C46"/>
    <w:rsid w:val="0004596F"/>
    <w:rsid w:val="00063441"/>
    <w:rsid w:val="00064BFD"/>
    <w:rsid w:val="000701AE"/>
    <w:rsid w:val="00085D6A"/>
    <w:rsid w:val="000915CF"/>
    <w:rsid w:val="00091D3B"/>
    <w:rsid w:val="000A03F9"/>
    <w:rsid w:val="000A52F3"/>
    <w:rsid w:val="000C3796"/>
    <w:rsid w:val="000C581A"/>
    <w:rsid w:val="000C5C4E"/>
    <w:rsid w:val="000C6146"/>
    <w:rsid w:val="000D6338"/>
    <w:rsid w:val="000E32C4"/>
    <w:rsid w:val="000E39DB"/>
    <w:rsid w:val="000E456A"/>
    <w:rsid w:val="000E5279"/>
    <w:rsid w:val="0010001E"/>
    <w:rsid w:val="00101BC8"/>
    <w:rsid w:val="00117CCC"/>
    <w:rsid w:val="00123B12"/>
    <w:rsid w:val="0012505F"/>
    <w:rsid w:val="00126DC1"/>
    <w:rsid w:val="001408DC"/>
    <w:rsid w:val="00143B81"/>
    <w:rsid w:val="00146F30"/>
    <w:rsid w:val="0014721E"/>
    <w:rsid w:val="00151C07"/>
    <w:rsid w:val="0015558C"/>
    <w:rsid w:val="00155BE8"/>
    <w:rsid w:val="00164B23"/>
    <w:rsid w:val="00196D40"/>
    <w:rsid w:val="001A24CB"/>
    <w:rsid w:val="001B0711"/>
    <w:rsid w:val="001D574A"/>
    <w:rsid w:val="001E322F"/>
    <w:rsid w:val="001F35B4"/>
    <w:rsid w:val="001F6792"/>
    <w:rsid w:val="00202372"/>
    <w:rsid w:val="002078F1"/>
    <w:rsid w:val="00210A8C"/>
    <w:rsid w:val="00223842"/>
    <w:rsid w:val="00244D2C"/>
    <w:rsid w:val="00273E61"/>
    <w:rsid w:val="002853E9"/>
    <w:rsid w:val="00286E46"/>
    <w:rsid w:val="0029362D"/>
    <w:rsid w:val="002938F7"/>
    <w:rsid w:val="0029402A"/>
    <w:rsid w:val="002A59DB"/>
    <w:rsid w:val="002C3BBB"/>
    <w:rsid w:val="002C6055"/>
    <w:rsid w:val="002C72BC"/>
    <w:rsid w:val="002D0CB3"/>
    <w:rsid w:val="002D1F50"/>
    <w:rsid w:val="002D2F82"/>
    <w:rsid w:val="002D31D9"/>
    <w:rsid w:val="002F06B2"/>
    <w:rsid w:val="002F24E6"/>
    <w:rsid w:val="002F32BB"/>
    <w:rsid w:val="003006F3"/>
    <w:rsid w:val="00304601"/>
    <w:rsid w:val="00307424"/>
    <w:rsid w:val="003316A6"/>
    <w:rsid w:val="003319FB"/>
    <w:rsid w:val="00333A0F"/>
    <w:rsid w:val="00336324"/>
    <w:rsid w:val="00341FF8"/>
    <w:rsid w:val="00345F84"/>
    <w:rsid w:val="00347CFE"/>
    <w:rsid w:val="00360FE6"/>
    <w:rsid w:val="003659C7"/>
    <w:rsid w:val="00381DBE"/>
    <w:rsid w:val="003B2203"/>
    <w:rsid w:val="004245DF"/>
    <w:rsid w:val="00446D96"/>
    <w:rsid w:val="00446EEB"/>
    <w:rsid w:val="00474075"/>
    <w:rsid w:val="0049246C"/>
    <w:rsid w:val="004A13B9"/>
    <w:rsid w:val="004A5375"/>
    <w:rsid w:val="004B1723"/>
    <w:rsid w:val="004D3B99"/>
    <w:rsid w:val="004D49D7"/>
    <w:rsid w:val="004F4BA8"/>
    <w:rsid w:val="005001C4"/>
    <w:rsid w:val="00503EF0"/>
    <w:rsid w:val="0050610C"/>
    <w:rsid w:val="00514967"/>
    <w:rsid w:val="00517CE6"/>
    <w:rsid w:val="00530AC0"/>
    <w:rsid w:val="00532825"/>
    <w:rsid w:val="00534170"/>
    <w:rsid w:val="00542557"/>
    <w:rsid w:val="00543A02"/>
    <w:rsid w:val="00545EE3"/>
    <w:rsid w:val="005510C2"/>
    <w:rsid w:val="005660F1"/>
    <w:rsid w:val="00566BF3"/>
    <w:rsid w:val="005803D6"/>
    <w:rsid w:val="005832F6"/>
    <w:rsid w:val="0058537B"/>
    <w:rsid w:val="00585F4D"/>
    <w:rsid w:val="0059197A"/>
    <w:rsid w:val="00593D3A"/>
    <w:rsid w:val="005A0453"/>
    <w:rsid w:val="005A32D7"/>
    <w:rsid w:val="005A64B1"/>
    <w:rsid w:val="005B714C"/>
    <w:rsid w:val="005C1975"/>
    <w:rsid w:val="005C34FD"/>
    <w:rsid w:val="005E1CC8"/>
    <w:rsid w:val="005E1EEF"/>
    <w:rsid w:val="005E28E2"/>
    <w:rsid w:val="005E54DA"/>
    <w:rsid w:val="005F21D4"/>
    <w:rsid w:val="005F2C31"/>
    <w:rsid w:val="005F628F"/>
    <w:rsid w:val="00604A2B"/>
    <w:rsid w:val="00622313"/>
    <w:rsid w:val="006353EE"/>
    <w:rsid w:val="00643651"/>
    <w:rsid w:val="00651CE6"/>
    <w:rsid w:val="006669CB"/>
    <w:rsid w:val="00695859"/>
    <w:rsid w:val="006A5639"/>
    <w:rsid w:val="006B6F60"/>
    <w:rsid w:val="006C6BA2"/>
    <w:rsid w:val="006E2B87"/>
    <w:rsid w:val="006E44C5"/>
    <w:rsid w:val="006E50F6"/>
    <w:rsid w:val="0070178C"/>
    <w:rsid w:val="00702A48"/>
    <w:rsid w:val="00702E1F"/>
    <w:rsid w:val="00721BC9"/>
    <w:rsid w:val="00726D02"/>
    <w:rsid w:val="007374B1"/>
    <w:rsid w:val="0074545A"/>
    <w:rsid w:val="007519EA"/>
    <w:rsid w:val="00783B98"/>
    <w:rsid w:val="0079446C"/>
    <w:rsid w:val="007A3B1A"/>
    <w:rsid w:val="007A627D"/>
    <w:rsid w:val="007A6E41"/>
    <w:rsid w:val="007B1B40"/>
    <w:rsid w:val="007B4A90"/>
    <w:rsid w:val="007C3822"/>
    <w:rsid w:val="007C65C1"/>
    <w:rsid w:val="007C7016"/>
    <w:rsid w:val="007E63C2"/>
    <w:rsid w:val="007F4980"/>
    <w:rsid w:val="007F55E2"/>
    <w:rsid w:val="007F5E38"/>
    <w:rsid w:val="00805955"/>
    <w:rsid w:val="00817222"/>
    <w:rsid w:val="008261A8"/>
    <w:rsid w:val="008264FF"/>
    <w:rsid w:val="00837798"/>
    <w:rsid w:val="00847DA3"/>
    <w:rsid w:val="00850C8E"/>
    <w:rsid w:val="00852570"/>
    <w:rsid w:val="00853AF5"/>
    <w:rsid w:val="00861717"/>
    <w:rsid w:val="00870E09"/>
    <w:rsid w:val="008856E2"/>
    <w:rsid w:val="00890812"/>
    <w:rsid w:val="0089328A"/>
    <w:rsid w:val="00894798"/>
    <w:rsid w:val="00894EA3"/>
    <w:rsid w:val="008969D9"/>
    <w:rsid w:val="008C698C"/>
    <w:rsid w:val="008C6FE5"/>
    <w:rsid w:val="008C7A4D"/>
    <w:rsid w:val="008D3C78"/>
    <w:rsid w:val="008F1027"/>
    <w:rsid w:val="008F74B4"/>
    <w:rsid w:val="00900572"/>
    <w:rsid w:val="00913E52"/>
    <w:rsid w:val="00914872"/>
    <w:rsid w:val="00927A29"/>
    <w:rsid w:val="009462F6"/>
    <w:rsid w:val="0095263C"/>
    <w:rsid w:val="00966B05"/>
    <w:rsid w:val="00967AA8"/>
    <w:rsid w:val="00967CBD"/>
    <w:rsid w:val="0097009D"/>
    <w:rsid w:val="009711B4"/>
    <w:rsid w:val="00973B2E"/>
    <w:rsid w:val="00982B4A"/>
    <w:rsid w:val="009A40E1"/>
    <w:rsid w:val="009D0C7C"/>
    <w:rsid w:val="009D121B"/>
    <w:rsid w:val="009E62F9"/>
    <w:rsid w:val="009F0611"/>
    <w:rsid w:val="00A05F70"/>
    <w:rsid w:val="00A07E2F"/>
    <w:rsid w:val="00A34C58"/>
    <w:rsid w:val="00A36270"/>
    <w:rsid w:val="00A371CF"/>
    <w:rsid w:val="00A40BDA"/>
    <w:rsid w:val="00A45E03"/>
    <w:rsid w:val="00A46957"/>
    <w:rsid w:val="00A515EA"/>
    <w:rsid w:val="00A60FD1"/>
    <w:rsid w:val="00A8606C"/>
    <w:rsid w:val="00AA07A0"/>
    <w:rsid w:val="00AA5736"/>
    <w:rsid w:val="00AB4702"/>
    <w:rsid w:val="00AC0B76"/>
    <w:rsid w:val="00AD27A8"/>
    <w:rsid w:val="00AD295D"/>
    <w:rsid w:val="00AF2F13"/>
    <w:rsid w:val="00B000F7"/>
    <w:rsid w:val="00B12A42"/>
    <w:rsid w:val="00B13644"/>
    <w:rsid w:val="00B246BA"/>
    <w:rsid w:val="00B26A2D"/>
    <w:rsid w:val="00B26EAD"/>
    <w:rsid w:val="00B30793"/>
    <w:rsid w:val="00B34C5A"/>
    <w:rsid w:val="00B354B1"/>
    <w:rsid w:val="00B3770C"/>
    <w:rsid w:val="00B63FFF"/>
    <w:rsid w:val="00B7357B"/>
    <w:rsid w:val="00B83E67"/>
    <w:rsid w:val="00B9337F"/>
    <w:rsid w:val="00B95932"/>
    <w:rsid w:val="00BA5932"/>
    <w:rsid w:val="00BC2742"/>
    <w:rsid w:val="00BE1148"/>
    <w:rsid w:val="00BE2A70"/>
    <w:rsid w:val="00C2402D"/>
    <w:rsid w:val="00C508C7"/>
    <w:rsid w:val="00C53428"/>
    <w:rsid w:val="00C62C30"/>
    <w:rsid w:val="00C77407"/>
    <w:rsid w:val="00C801B3"/>
    <w:rsid w:val="00CC16FC"/>
    <w:rsid w:val="00CC3AD2"/>
    <w:rsid w:val="00CE2CEF"/>
    <w:rsid w:val="00D0223A"/>
    <w:rsid w:val="00D10219"/>
    <w:rsid w:val="00D17C30"/>
    <w:rsid w:val="00D2038C"/>
    <w:rsid w:val="00D33047"/>
    <w:rsid w:val="00D33473"/>
    <w:rsid w:val="00D351F5"/>
    <w:rsid w:val="00D400C8"/>
    <w:rsid w:val="00D46402"/>
    <w:rsid w:val="00D62526"/>
    <w:rsid w:val="00D65336"/>
    <w:rsid w:val="00D67D89"/>
    <w:rsid w:val="00D95DA4"/>
    <w:rsid w:val="00D96751"/>
    <w:rsid w:val="00DA038C"/>
    <w:rsid w:val="00DC069B"/>
    <w:rsid w:val="00DC42AE"/>
    <w:rsid w:val="00DD5B1A"/>
    <w:rsid w:val="00DD660C"/>
    <w:rsid w:val="00DF4F89"/>
    <w:rsid w:val="00DF6513"/>
    <w:rsid w:val="00E00495"/>
    <w:rsid w:val="00E06701"/>
    <w:rsid w:val="00E125AE"/>
    <w:rsid w:val="00E1338B"/>
    <w:rsid w:val="00E1552B"/>
    <w:rsid w:val="00E20828"/>
    <w:rsid w:val="00E21BE2"/>
    <w:rsid w:val="00E44A18"/>
    <w:rsid w:val="00E4651B"/>
    <w:rsid w:val="00E540C2"/>
    <w:rsid w:val="00E62923"/>
    <w:rsid w:val="00E7477C"/>
    <w:rsid w:val="00E8562B"/>
    <w:rsid w:val="00E85951"/>
    <w:rsid w:val="00EA08F3"/>
    <w:rsid w:val="00EA107B"/>
    <w:rsid w:val="00EB02BD"/>
    <w:rsid w:val="00EB3BA2"/>
    <w:rsid w:val="00EC0F49"/>
    <w:rsid w:val="00ED4592"/>
    <w:rsid w:val="00ED4FC8"/>
    <w:rsid w:val="00EE7305"/>
    <w:rsid w:val="00F12242"/>
    <w:rsid w:val="00F17660"/>
    <w:rsid w:val="00F21D93"/>
    <w:rsid w:val="00F26F4D"/>
    <w:rsid w:val="00F36E0F"/>
    <w:rsid w:val="00F41301"/>
    <w:rsid w:val="00F4764F"/>
    <w:rsid w:val="00F57EFB"/>
    <w:rsid w:val="00F65D7E"/>
    <w:rsid w:val="00F66B41"/>
    <w:rsid w:val="00F74D1A"/>
    <w:rsid w:val="00F831F4"/>
    <w:rsid w:val="00FA7AED"/>
    <w:rsid w:val="00FB6BD4"/>
    <w:rsid w:val="00FB7848"/>
    <w:rsid w:val="00FC26B2"/>
    <w:rsid w:val="00FC5612"/>
    <w:rsid w:val="00FC63D7"/>
    <w:rsid w:val="00FD78E7"/>
    <w:rsid w:val="00F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E02C"/>
  <w15:chartTrackingRefBased/>
  <w15:docId w15:val="{2670D999-6F3B-470B-827A-08BD5FA0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4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347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6146"/>
  </w:style>
  <w:style w:type="paragraph" w:styleId="Podnoje">
    <w:name w:val="footer"/>
    <w:basedOn w:val="Normal"/>
    <w:link w:val="Podno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6146"/>
  </w:style>
  <w:style w:type="paragraph" w:styleId="Tekstbalonia">
    <w:name w:val="Balloon Text"/>
    <w:basedOn w:val="Normal"/>
    <w:link w:val="TekstbaloniaChar"/>
    <w:uiPriority w:val="99"/>
    <w:semiHidden/>
    <w:unhideWhenUsed/>
    <w:rsid w:val="00E0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6701"/>
    <w:rPr>
      <w:rFonts w:ascii="Segoe UI" w:hAnsi="Segoe UI" w:cs="Segoe UI"/>
      <w:sz w:val="18"/>
      <w:szCs w:val="18"/>
    </w:rPr>
  </w:style>
  <w:style w:type="paragraph" w:customStyle="1" w:styleId="crtice">
    <w:name w:val="crtice"/>
    <w:basedOn w:val="Normal"/>
    <w:qFormat/>
    <w:rsid w:val="00894798"/>
    <w:pPr>
      <w:numPr>
        <w:numId w:val="2"/>
      </w:numPr>
      <w:tabs>
        <w:tab w:val="left" w:pos="709"/>
        <w:tab w:val="right" w:pos="8505"/>
      </w:tabs>
      <w:spacing w:after="0" w:line="360" w:lineRule="auto"/>
      <w:contextualSpacing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en-US"/>
            </a:pPr>
            <a:r>
              <a:rPr lang="hr-HR" sz="1099" baseline="0"/>
              <a:t>Prihodi i primici  Proračuna Općine Netretić za 2022. godinu</a:t>
            </a:r>
            <a:endParaRPr lang="hr-HR" sz="1100"/>
          </a:p>
        </c:rich>
      </c:tx>
      <c:layout>
        <c:manualLayout>
          <c:xMode val="edge"/>
          <c:yMode val="edge"/>
          <c:x val="0.14566513081311716"/>
          <c:y val="3.1088252696736606E-2"/>
        </c:manualLayout>
      </c:layout>
      <c:overlay val="0"/>
    </c:title>
    <c:autoTitleDeleted val="0"/>
    <c:view3D>
      <c:rotX val="30"/>
      <c:rotY val="2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80907476385803E-2"/>
          <c:y val="0.16164355342107059"/>
          <c:w val="0.94761904761904758"/>
          <c:h val="0.8381420765027322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38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Lbls>
            <c:dLbl>
              <c:idx val="4"/>
              <c:layout>
                <c:manualLayout>
                  <c:x val="-0.14903006442376521"/>
                  <c:y val="-0.1969244520110663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0389610389610397"/>
                  <c:y val="-0.1412240902319643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 w="25385">
                <a:noFill/>
              </a:ln>
            </c:spPr>
            <c:txPr>
              <a:bodyPr/>
              <a:lstStyle/>
              <a:p>
                <a:pPr>
                  <a:defRPr lang="en-US" sz="600" b="1" baseline="0"/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Imovina!$A$4:$A$15</c:f>
              <c:strCache>
                <c:ptCount val="7"/>
                <c:pt idx="0">
                  <c:v>Prihodi od poreza</c:v>
                </c:pt>
                <c:pt idx="1">
                  <c:v>Pomoći iz  inozemstva i od subjekata unutar općeg proračuna</c:v>
                </c:pt>
                <c:pt idx="2">
                  <c:v>Prihodi od 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roba te pruženih usluga i prihodi od donacija</c:v>
                </c:pt>
                <c:pt idx="5">
                  <c:v>Prihodi od prodaje neproizvedene dugotrajne imovine</c:v>
                </c:pt>
                <c:pt idx="6">
                  <c:v>Višak prihoda</c:v>
                </c:pt>
              </c:strCache>
            </c:strRef>
          </c:cat>
          <c:val>
            <c:numRef>
              <c:f>Imovina!$B$4:$B$15</c:f>
              <c:numCache>
                <c:formatCode>#,##0.00\ "kn"</c:formatCode>
                <c:ptCount val="12"/>
                <c:pt idx="0">
                  <c:v>3711140.11</c:v>
                </c:pt>
                <c:pt idx="1">
                  <c:v>4197300</c:v>
                </c:pt>
                <c:pt idx="2">
                  <c:v>135000</c:v>
                </c:pt>
                <c:pt idx="3">
                  <c:v>712000</c:v>
                </c:pt>
                <c:pt idx="4">
                  <c:v>17500</c:v>
                </c:pt>
                <c:pt idx="5">
                  <c:v>70000</c:v>
                </c:pt>
                <c:pt idx="6">
                  <c:v>2303759.89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ln w="12692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hr-HR" sz="1100" baseline="0"/>
              <a:t>Rashodi i izdaci   Proračuna Općine Netretić za 2022. godinu</a:t>
            </a:r>
            <a:endParaRPr lang="hr-HR" sz="1100"/>
          </a:p>
        </c:rich>
      </c:tx>
      <c:layout>
        <c:manualLayout>
          <c:xMode val="edge"/>
          <c:yMode val="edge"/>
          <c:x val="0.14566522207979815"/>
          <c:y val="3.1088082901554404E-2"/>
        </c:manualLayout>
      </c:layout>
      <c:overlay val="0"/>
    </c:title>
    <c:autoTitleDeleted val="0"/>
    <c:view3D>
      <c:rotX val="30"/>
      <c:rotY val="2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80907476385803E-2"/>
          <c:y val="0.16164355342107059"/>
          <c:w val="0.94761904761904758"/>
          <c:h val="0.8381420765027322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Lbls>
            <c:dLbl>
              <c:idx val="4"/>
              <c:layout>
                <c:manualLayout>
                  <c:x val="-6.1728395061728392E-3"/>
                  <c:y val="5.172413793103451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32E-3"/>
                  <c:y val="-1.1494252873563218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00" b="1" baseline="0"/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Imovina!$A$4:$A$15</c:f>
              <c:strCache>
                <c:ptCount val="8"/>
                <c:pt idx="0">
                  <c:v>Rashodi za zaposlene</c:v>
                </c:pt>
                <c:pt idx="1">
                  <c:v>Materijalni rashodi</c:v>
                </c:pt>
                <c:pt idx="2">
                  <c:v>Financijsi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 kućanstvima na temelju osiguranja i druge naknade</c:v>
                </c:pt>
                <c:pt idx="6">
                  <c:v>Ostali rashodi</c:v>
                </c:pt>
                <c:pt idx="7">
                  <c:v>Rashodi za nabavu proizvedene dugotrajne imovine</c:v>
                </c:pt>
              </c:strCache>
            </c:strRef>
          </c:cat>
          <c:val>
            <c:numRef>
              <c:f>Imovina!$B$4:$B$15</c:f>
              <c:numCache>
                <c:formatCode>"kn"#,##0.00_);[Red]\("kn"#,##0.00\)</c:formatCode>
                <c:ptCount val="12"/>
                <c:pt idx="0">
                  <c:v>848000</c:v>
                </c:pt>
                <c:pt idx="1">
                  <c:v>2990200</c:v>
                </c:pt>
                <c:pt idx="2">
                  <c:v>35000</c:v>
                </c:pt>
                <c:pt idx="3">
                  <c:v>50000</c:v>
                </c:pt>
                <c:pt idx="4">
                  <c:v>2720000</c:v>
                </c:pt>
                <c:pt idx="5">
                  <c:v>414000</c:v>
                </c:pt>
                <c:pt idx="6">
                  <c:v>828500</c:v>
                </c:pt>
                <c:pt idx="7">
                  <c:v>3261000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827-4BD7-8748-D86A1D2ED8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 w="12700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AC8FD-B23F-41AE-95DE-6EAF1054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6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Branka Vrcić</cp:lastModifiedBy>
  <cp:revision>224</cp:revision>
  <cp:lastPrinted>2022-10-07T14:27:00Z</cp:lastPrinted>
  <dcterms:created xsi:type="dcterms:W3CDTF">2019-11-15T06:20:00Z</dcterms:created>
  <dcterms:modified xsi:type="dcterms:W3CDTF">2022-10-07T14:52:00Z</dcterms:modified>
</cp:coreProperties>
</file>