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CC75C" w14:textId="3679BEF4" w:rsidR="007862ED" w:rsidRPr="007862ED" w:rsidRDefault="00A42D4A" w:rsidP="009E52FD">
      <w:pPr>
        <w:tabs>
          <w:tab w:val="left" w:pos="2127"/>
        </w:tabs>
        <w:spacing w:line="276" w:lineRule="auto"/>
        <w:ind w:right="6308"/>
        <w:jc w:val="center"/>
        <w:rPr>
          <w:rFonts w:cs="Times New Roman"/>
        </w:rPr>
      </w:pPr>
      <w:r>
        <w:rPr>
          <w:rFonts w:ascii="Arial" w:hAnsi="Arial" w:cs="Arial"/>
        </w:rPr>
        <w:t xml:space="preserve"> </w:t>
      </w:r>
      <w:r w:rsidR="007862ED" w:rsidRPr="007862ED">
        <w:rPr>
          <w:rFonts w:cs="Times New Roman"/>
          <w:noProof/>
          <w:lang w:eastAsia="hr-HR"/>
        </w:rPr>
        <w:drawing>
          <wp:inline distT="0" distB="0" distL="0" distR="0" wp14:anchorId="2CA73FF1" wp14:editId="1058B739">
            <wp:extent cx="534670" cy="754380"/>
            <wp:effectExtent l="0" t="0" r="0" b="7620"/>
            <wp:docPr id="89727157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8E0D9" w14:textId="77777777" w:rsidR="007862ED" w:rsidRPr="007862ED" w:rsidRDefault="007862ED" w:rsidP="009E52FD">
      <w:pPr>
        <w:widowControl/>
        <w:tabs>
          <w:tab w:val="left" w:pos="2127"/>
        </w:tabs>
        <w:autoSpaceDE/>
        <w:autoSpaceDN/>
        <w:spacing w:line="360" w:lineRule="auto"/>
        <w:ind w:right="6308"/>
        <w:jc w:val="center"/>
        <w:rPr>
          <w:rFonts w:ascii="Arial" w:hAnsi="Arial" w:cs="Arial"/>
          <w:b/>
          <w:sz w:val="28"/>
          <w:szCs w:val="28"/>
        </w:rPr>
      </w:pPr>
      <w:r w:rsidRPr="007862ED">
        <w:rPr>
          <w:rFonts w:ascii="Arial" w:hAnsi="Arial" w:cs="Arial"/>
          <w:b/>
          <w:sz w:val="28"/>
          <w:szCs w:val="28"/>
        </w:rPr>
        <w:t>REPUBLIKA HRVATSKA</w:t>
      </w:r>
    </w:p>
    <w:p w14:paraId="6926C929" w14:textId="77777777" w:rsidR="007862ED" w:rsidRPr="007862ED" w:rsidRDefault="007862ED" w:rsidP="009E52FD">
      <w:pPr>
        <w:widowControl/>
        <w:tabs>
          <w:tab w:val="left" w:pos="2127"/>
        </w:tabs>
        <w:autoSpaceDE/>
        <w:autoSpaceDN/>
        <w:spacing w:line="360" w:lineRule="auto"/>
        <w:ind w:right="6308"/>
        <w:jc w:val="center"/>
        <w:rPr>
          <w:rFonts w:ascii="Arial" w:hAnsi="Arial" w:cs="Arial"/>
          <w:b/>
          <w:sz w:val="24"/>
          <w:szCs w:val="24"/>
        </w:rPr>
      </w:pPr>
      <w:r w:rsidRPr="007862ED">
        <w:rPr>
          <w:rFonts w:ascii="Arial" w:hAnsi="Arial" w:cs="Arial"/>
          <w:b/>
          <w:sz w:val="24"/>
          <w:szCs w:val="24"/>
        </w:rPr>
        <w:t>KARLOVAČKA ŽUPANIJA</w:t>
      </w:r>
    </w:p>
    <w:p w14:paraId="10000C0E" w14:textId="77777777" w:rsidR="007862ED" w:rsidRPr="007862ED" w:rsidRDefault="007862ED" w:rsidP="009E52FD">
      <w:pPr>
        <w:widowControl/>
        <w:tabs>
          <w:tab w:val="left" w:pos="2127"/>
        </w:tabs>
        <w:autoSpaceDE/>
        <w:autoSpaceDN/>
        <w:spacing w:line="360" w:lineRule="auto"/>
        <w:ind w:right="6308"/>
        <w:jc w:val="center"/>
        <w:rPr>
          <w:rFonts w:ascii="Arial" w:hAnsi="Arial" w:cs="Arial"/>
          <w:b/>
        </w:rPr>
      </w:pPr>
      <w:r w:rsidRPr="007862ED">
        <w:rPr>
          <w:rFonts w:ascii="Arial" w:hAnsi="Arial" w:cs="Arial"/>
          <w:b/>
        </w:rPr>
        <w:t>OPĆINA NETRETIĆ</w:t>
      </w:r>
    </w:p>
    <w:p w14:paraId="6CDB269C" w14:textId="77777777" w:rsidR="007862ED" w:rsidRPr="007862ED" w:rsidRDefault="007862ED" w:rsidP="009E52FD">
      <w:pPr>
        <w:widowControl/>
        <w:tabs>
          <w:tab w:val="left" w:pos="1418"/>
          <w:tab w:val="left" w:pos="2127"/>
        </w:tabs>
        <w:autoSpaceDE/>
        <w:autoSpaceDN/>
        <w:spacing w:line="276" w:lineRule="auto"/>
        <w:ind w:right="6308"/>
        <w:outlineLvl w:val="0"/>
        <w:rPr>
          <w:rFonts w:ascii="Arial" w:hAnsi="Arial" w:cs="Arial"/>
          <w:b/>
        </w:rPr>
      </w:pPr>
      <w:r w:rsidRPr="007862ED">
        <w:rPr>
          <w:rFonts w:ascii="Arial" w:hAnsi="Arial" w:cs="Arial"/>
          <w:b/>
        </w:rPr>
        <w:t>OPĆINSKO VIJEĆE</w:t>
      </w:r>
    </w:p>
    <w:p w14:paraId="307E22C0" w14:textId="77777777" w:rsidR="007862ED" w:rsidRPr="006C6EA3" w:rsidRDefault="007862ED" w:rsidP="009E52FD">
      <w:pPr>
        <w:widowControl/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autoSpaceDE/>
        <w:autoSpaceDN/>
        <w:ind w:right="6308"/>
        <w:rPr>
          <w:rFonts w:ascii="Arial" w:eastAsia="Times New Roman" w:hAnsi="Arial" w:cs="Arial"/>
          <w:bCs/>
          <w:lang w:eastAsia="hr-HR"/>
        </w:rPr>
      </w:pPr>
      <w:r w:rsidRPr="006C6EA3">
        <w:rPr>
          <w:rFonts w:ascii="Arial" w:eastAsia="Times New Roman" w:hAnsi="Arial" w:cs="Arial"/>
          <w:bCs/>
          <w:lang w:eastAsia="hr-HR"/>
        </w:rPr>
        <w:t>KLASA: 024-04/24-01/2</w:t>
      </w:r>
      <w:r>
        <w:rPr>
          <w:rFonts w:ascii="Arial" w:eastAsia="Times New Roman" w:hAnsi="Arial" w:cs="Arial"/>
          <w:bCs/>
          <w:lang w:eastAsia="hr-HR"/>
        </w:rPr>
        <w:t>4</w:t>
      </w:r>
    </w:p>
    <w:p w14:paraId="7207EE46" w14:textId="77777777" w:rsidR="007862ED" w:rsidRPr="006C6EA3" w:rsidRDefault="007862ED" w:rsidP="009E52FD">
      <w:pPr>
        <w:widowControl/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autoSpaceDE/>
        <w:autoSpaceDN/>
        <w:ind w:right="6308"/>
        <w:rPr>
          <w:rFonts w:ascii="Arial" w:eastAsia="Times New Roman" w:hAnsi="Arial" w:cs="Arial"/>
          <w:bCs/>
          <w:lang w:eastAsia="hr-HR"/>
        </w:rPr>
      </w:pPr>
      <w:r w:rsidRPr="006C6EA3">
        <w:rPr>
          <w:rFonts w:ascii="Arial" w:eastAsia="Times New Roman" w:hAnsi="Arial" w:cs="Arial"/>
          <w:bCs/>
          <w:lang w:eastAsia="hr-HR"/>
        </w:rPr>
        <w:t>URBROJ: 2133-11-01/06-24-1</w:t>
      </w:r>
    </w:p>
    <w:p w14:paraId="395D7F5C" w14:textId="354CDB0E" w:rsidR="007862ED" w:rsidRDefault="007862ED" w:rsidP="009E52FD">
      <w:pPr>
        <w:spacing w:before="27"/>
        <w:ind w:right="6308"/>
        <w:jc w:val="both"/>
        <w:rPr>
          <w:rFonts w:cs="Times New Roman"/>
          <w:noProof/>
          <w:lang w:eastAsia="hr-HR"/>
        </w:rPr>
      </w:pPr>
      <w:r w:rsidRPr="006C6EA3">
        <w:rPr>
          <w:rFonts w:ascii="Arial" w:eastAsia="Times New Roman" w:hAnsi="Arial" w:cs="Arial"/>
          <w:bCs/>
          <w:lang w:eastAsia="hr-HR"/>
        </w:rPr>
        <w:t>Netretić, 06. kolovoza 2024.</w:t>
      </w:r>
    </w:p>
    <w:p w14:paraId="36FCEE39" w14:textId="77777777" w:rsidR="007862ED" w:rsidRDefault="007862ED" w:rsidP="007862ED">
      <w:pPr>
        <w:spacing w:before="27"/>
        <w:ind w:right="167"/>
        <w:jc w:val="both"/>
        <w:rPr>
          <w:rFonts w:ascii="Arial" w:hAnsi="Arial" w:cs="Arial"/>
        </w:rPr>
      </w:pPr>
    </w:p>
    <w:p w14:paraId="27448350" w14:textId="77777777" w:rsidR="007862ED" w:rsidRDefault="007862ED" w:rsidP="007862ED">
      <w:pPr>
        <w:spacing w:before="27"/>
        <w:ind w:right="167"/>
        <w:jc w:val="both"/>
        <w:rPr>
          <w:rFonts w:ascii="Arial" w:hAnsi="Arial" w:cs="Arial"/>
        </w:rPr>
      </w:pPr>
    </w:p>
    <w:p w14:paraId="367502A0" w14:textId="19941F7E" w:rsidR="006920FE" w:rsidRPr="0002753A" w:rsidRDefault="00844059" w:rsidP="005B26B1">
      <w:pPr>
        <w:spacing w:before="27"/>
        <w:ind w:right="167" w:firstLine="1134"/>
        <w:jc w:val="both"/>
        <w:rPr>
          <w:rFonts w:ascii="Arial" w:hAnsi="Arial" w:cs="Arial"/>
        </w:rPr>
      </w:pPr>
      <w:r w:rsidRPr="0002753A">
        <w:rPr>
          <w:rFonts w:ascii="Arial" w:hAnsi="Arial" w:cs="Arial"/>
        </w:rPr>
        <w:t>Temeljem članka 120. stavak 3. Zakona o proračunu („Narodne novine“ broj 144/21</w:t>
      </w:r>
      <w:r w:rsidR="006920FE" w:rsidRPr="0002753A">
        <w:rPr>
          <w:rFonts w:ascii="Arial" w:hAnsi="Arial" w:cs="Arial"/>
        </w:rPr>
        <w:t xml:space="preserve">) i članka 28. Statuta Općine Netretić </w:t>
      </w:r>
      <w:bookmarkStart w:id="0" w:name="_Hlk66770674"/>
      <w:r w:rsidR="006920FE" w:rsidRPr="0002753A">
        <w:rPr>
          <w:rFonts w:ascii="Arial" w:hAnsi="Arial" w:cs="Arial"/>
        </w:rPr>
        <w:t>(„Glasnik Općine Netretić“ broj 03/13, 02/18, 03/18, 02/20 i 02/21)</w:t>
      </w:r>
      <w:bookmarkEnd w:id="0"/>
      <w:r w:rsidR="006920FE" w:rsidRPr="0002753A">
        <w:rPr>
          <w:rFonts w:ascii="Arial" w:hAnsi="Arial" w:cs="Arial"/>
        </w:rPr>
        <w:t>, Općinsko vijeće Općine Netretić na</w:t>
      </w:r>
      <w:r w:rsidR="00D5134E">
        <w:rPr>
          <w:rFonts w:ascii="Arial" w:hAnsi="Arial" w:cs="Arial"/>
        </w:rPr>
        <w:t xml:space="preserve"> 22</w:t>
      </w:r>
      <w:r w:rsidR="0002753A">
        <w:rPr>
          <w:rFonts w:ascii="Arial" w:hAnsi="Arial" w:cs="Arial"/>
        </w:rPr>
        <w:t>.</w:t>
      </w:r>
      <w:r w:rsidR="006920FE" w:rsidRPr="0002753A">
        <w:rPr>
          <w:rFonts w:ascii="Arial" w:hAnsi="Arial" w:cs="Arial"/>
        </w:rPr>
        <w:t xml:space="preserve"> redovnoj sjednici održanoj dana</w:t>
      </w:r>
      <w:r w:rsidR="00D5134E">
        <w:rPr>
          <w:rFonts w:ascii="Arial" w:hAnsi="Arial" w:cs="Arial"/>
        </w:rPr>
        <w:t xml:space="preserve"> 06. kolovoza</w:t>
      </w:r>
      <w:r w:rsidR="0002753A">
        <w:rPr>
          <w:rFonts w:ascii="Arial" w:hAnsi="Arial" w:cs="Arial"/>
        </w:rPr>
        <w:t xml:space="preserve"> </w:t>
      </w:r>
      <w:r w:rsidR="006920FE" w:rsidRPr="0002753A">
        <w:rPr>
          <w:rFonts w:ascii="Arial" w:hAnsi="Arial" w:cs="Arial"/>
        </w:rPr>
        <w:t>2024. godine donijelo je</w:t>
      </w:r>
    </w:p>
    <w:p w14:paraId="41F2863F" w14:textId="77777777" w:rsidR="00C86DAE" w:rsidRPr="0002753A" w:rsidRDefault="00C86DAE" w:rsidP="006920FE">
      <w:pPr>
        <w:pStyle w:val="Tijeloteksta"/>
        <w:spacing w:before="11"/>
        <w:rPr>
          <w:rFonts w:ascii="Arial" w:hAnsi="Arial" w:cs="Arial"/>
          <w:b w:val="0"/>
          <w:i/>
          <w:sz w:val="22"/>
          <w:szCs w:val="22"/>
        </w:rPr>
      </w:pPr>
    </w:p>
    <w:p w14:paraId="7A34A0BC" w14:textId="336B7A96" w:rsidR="0002753A" w:rsidRDefault="005B26B1" w:rsidP="006920FE">
      <w:pPr>
        <w:pStyle w:val="Tijeloteksta"/>
        <w:ind w:right="202"/>
        <w:jc w:val="center"/>
        <w:rPr>
          <w:rFonts w:ascii="Arial" w:hAnsi="Arial" w:cs="Arial"/>
        </w:rPr>
      </w:pPr>
      <w:r>
        <w:rPr>
          <w:rFonts w:ascii="Arial" w:hAnsi="Arial" w:cs="Arial"/>
        </w:rPr>
        <w:t>O   D   L   U   K   U</w:t>
      </w:r>
    </w:p>
    <w:p w14:paraId="72970B29" w14:textId="77777777" w:rsidR="005B26B1" w:rsidRDefault="005B26B1" w:rsidP="006920FE">
      <w:pPr>
        <w:pStyle w:val="Tijeloteksta"/>
        <w:ind w:right="202"/>
        <w:jc w:val="center"/>
        <w:rPr>
          <w:rFonts w:ascii="Arial" w:hAnsi="Arial" w:cs="Arial"/>
        </w:rPr>
      </w:pPr>
    </w:p>
    <w:p w14:paraId="1009C413" w14:textId="160934A0" w:rsidR="00C86DAE" w:rsidRPr="0002753A" w:rsidRDefault="00844059" w:rsidP="006920FE">
      <w:pPr>
        <w:pStyle w:val="Tijeloteksta"/>
        <w:ind w:right="202"/>
        <w:jc w:val="center"/>
        <w:rPr>
          <w:rFonts w:ascii="Arial" w:hAnsi="Arial" w:cs="Arial"/>
          <w:sz w:val="22"/>
          <w:szCs w:val="22"/>
        </w:rPr>
      </w:pPr>
      <w:r w:rsidRPr="0002753A">
        <w:rPr>
          <w:rFonts w:ascii="Arial" w:hAnsi="Arial" w:cs="Arial"/>
          <w:sz w:val="22"/>
          <w:szCs w:val="22"/>
        </w:rPr>
        <w:t>o</w:t>
      </w:r>
      <w:r w:rsidRPr="0002753A">
        <w:rPr>
          <w:rFonts w:ascii="Arial" w:hAnsi="Arial" w:cs="Arial"/>
          <w:spacing w:val="-4"/>
          <w:sz w:val="22"/>
          <w:szCs w:val="22"/>
        </w:rPr>
        <w:t xml:space="preserve"> </w:t>
      </w:r>
      <w:r w:rsidRPr="0002753A">
        <w:rPr>
          <w:rFonts w:ascii="Arial" w:hAnsi="Arial" w:cs="Arial"/>
          <w:sz w:val="22"/>
          <w:szCs w:val="22"/>
        </w:rPr>
        <w:t>dugoročnom</w:t>
      </w:r>
      <w:r w:rsidRPr="0002753A">
        <w:rPr>
          <w:rFonts w:ascii="Arial" w:hAnsi="Arial" w:cs="Arial"/>
          <w:spacing w:val="-4"/>
          <w:sz w:val="22"/>
          <w:szCs w:val="22"/>
        </w:rPr>
        <w:t xml:space="preserve"> </w:t>
      </w:r>
      <w:r w:rsidRPr="0002753A">
        <w:rPr>
          <w:rFonts w:ascii="Arial" w:hAnsi="Arial" w:cs="Arial"/>
          <w:sz w:val="22"/>
          <w:szCs w:val="22"/>
        </w:rPr>
        <w:t>zaduživanju</w:t>
      </w:r>
      <w:r w:rsidRPr="0002753A">
        <w:rPr>
          <w:rFonts w:ascii="Arial" w:hAnsi="Arial" w:cs="Arial"/>
          <w:spacing w:val="-2"/>
          <w:sz w:val="22"/>
          <w:szCs w:val="22"/>
        </w:rPr>
        <w:t xml:space="preserve"> </w:t>
      </w:r>
      <w:r w:rsidR="006920FE" w:rsidRPr="0002753A">
        <w:rPr>
          <w:rFonts w:ascii="Arial" w:hAnsi="Arial" w:cs="Arial"/>
          <w:spacing w:val="-2"/>
          <w:sz w:val="22"/>
          <w:szCs w:val="22"/>
        </w:rPr>
        <w:t>Općine Netretić</w:t>
      </w:r>
    </w:p>
    <w:p w14:paraId="61B3B48A" w14:textId="77777777" w:rsidR="00C86DAE" w:rsidRPr="0002753A" w:rsidRDefault="00C86DAE" w:rsidP="006920FE">
      <w:pPr>
        <w:pStyle w:val="Tijeloteksta"/>
        <w:rPr>
          <w:rFonts w:ascii="Arial" w:hAnsi="Arial" w:cs="Arial"/>
          <w:sz w:val="22"/>
          <w:szCs w:val="22"/>
        </w:rPr>
      </w:pPr>
    </w:p>
    <w:p w14:paraId="4621EF58" w14:textId="77777777" w:rsidR="00C86DAE" w:rsidRPr="0002753A" w:rsidRDefault="00C86DAE" w:rsidP="006920FE">
      <w:pPr>
        <w:pStyle w:val="Tijeloteksta"/>
        <w:rPr>
          <w:rFonts w:ascii="Arial" w:hAnsi="Arial" w:cs="Arial"/>
          <w:sz w:val="22"/>
          <w:szCs w:val="22"/>
        </w:rPr>
      </w:pPr>
    </w:p>
    <w:p w14:paraId="1EE7DB50" w14:textId="77777777" w:rsidR="00C86DAE" w:rsidRDefault="00844059" w:rsidP="006920FE">
      <w:pPr>
        <w:pStyle w:val="Tijeloteksta"/>
        <w:ind w:right="202"/>
        <w:jc w:val="center"/>
        <w:rPr>
          <w:rFonts w:ascii="Arial" w:hAnsi="Arial" w:cs="Arial"/>
          <w:sz w:val="22"/>
          <w:szCs w:val="22"/>
        </w:rPr>
      </w:pPr>
      <w:r w:rsidRPr="0002753A">
        <w:rPr>
          <w:rFonts w:ascii="Arial" w:hAnsi="Arial" w:cs="Arial"/>
          <w:sz w:val="22"/>
          <w:szCs w:val="22"/>
        </w:rPr>
        <w:t>Članak</w:t>
      </w:r>
      <w:r w:rsidRPr="0002753A">
        <w:rPr>
          <w:rFonts w:ascii="Arial" w:hAnsi="Arial" w:cs="Arial"/>
          <w:spacing w:val="-2"/>
          <w:sz w:val="22"/>
          <w:szCs w:val="22"/>
        </w:rPr>
        <w:t xml:space="preserve"> </w:t>
      </w:r>
      <w:r w:rsidRPr="0002753A">
        <w:rPr>
          <w:rFonts w:ascii="Arial" w:hAnsi="Arial" w:cs="Arial"/>
          <w:sz w:val="22"/>
          <w:szCs w:val="22"/>
        </w:rPr>
        <w:t>1.</w:t>
      </w:r>
    </w:p>
    <w:p w14:paraId="79F47C58" w14:textId="77777777" w:rsidR="005B26B1" w:rsidRPr="0002753A" w:rsidRDefault="005B26B1" w:rsidP="006920FE">
      <w:pPr>
        <w:pStyle w:val="Tijeloteksta"/>
        <w:ind w:right="202"/>
        <w:jc w:val="center"/>
        <w:rPr>
          <w:rFonts w:ascii="Arial" w:hAnsi="Arial" w:cs="Arial"/>
          <w:sz w:val="22"/>
          <w:szCs w:val="22"/>
        </w:rPr>
      </w:pPr>
    </w:p>
    <w:p w14:paraId="3FD54575" w14:textId="7152263A" w:rsidR="00C86DAE" w:rsidRPr="0002753A" w:rsidRDefault="00A43CFE" w:rsidP="005B26B1">
      <w:pPr>
        <w:ind w:right="169" w:firstLine="1134"/>
        <w:jc w:val="both"/>
        <w:rPr>
          <w:rFonts w:ascii="Arial" w:hAnsi="Arial" w:cs="Arial"/>
        </w:rPr>
      </w:pPr>
      <w:r w:rsidRPr="0002753A">
        <w:rPr>
          <w:rFonts w:ascii="Arial" w:hAnsi="Arial" w:cs="Arial"/>
        </w:rPr>
        <w:t xml:space="preserve">Ovom Odlukom o dugoročnom zaduživanju </w:t>
      </w:r>
      <w:r w:rsidR="006920FE" w:rsidRPr="0002753A">
        <w:rPr>
          <w:rFonts w:ascii="Arial" w:hAnsi="Arial" w:cs="Arial"/>
        </w:rPr>
        <w:t xml:space="preserve">Općine Netretić </w:t>
      </w:r>
      <w:r w:rsidRPr="0002753A">
        <w:rPr>
          <w:rFonts w:ascii="Arial" w:hAnsi="Arial" w:cs="Arial"/>
        </w:rPr>
        <w:t>u 2024. godini (u daljnjem tekstu:</w:t>
      </w:r>
      <w:r w:rsidRPr="0002753A">
        <w:rPr>
          <w:rFonts w:ascii="Arial" w:hAnsi="Arial" w:cs="Arial"/>
          <w:spacing w:val="1"/>
        </w:rPr>
        <w:t xml:space="preserve"> </w:t>
      </w:r>
      <w:r w:rsidRPr="0002753A">
        <w:rPr>
          <w:rFonts w:ascii="Arial" w:hAnsi="Arial" w:cs="Arial"/>
        </w:rPr>
        <w:t xml:space="preserve">Odluka) odobrava se dugoročno zaduživanje </w:t>
      </w:r>
      <w:r w:rsidR="006920FE" w:rsidRPr="0002753A">
        <w:rPr>
          <w:rFonts w:ascii="Arial" w:hAnsi="Arial" w:cs="Arial"/>
        </w:rPr>
        <w:t>Općine Netretić</w:t>
      </w:r>
      <w:r w:rsidRPr="0002753A">
        <w:rPr>
          <w:rFonts w:ascii="Arial" w:hAnsi="Arial" w:cs="Arial"/>
        </w:rPr>
        <w:t>, uzimanjem dugoročnog kredita</w:t>
      </w:r>
      <w:r w:rsidRPr="0002753A">
        <w:rPr>
          <w:rFonts w:ascii="Arial" w:hAnsi="Arial" w:cs="Arial"/>
          <w:spacing w:val="1"/>
        </w:rPr>
        <w:t xml:space="preserve"> </w:t>
      </w:r>
      <w:r w:rsidRPr="0002753A">
        <w:rPr>
          <w:rFonts w:ascii="Arial" w:hAnsi="Arial" w:cs="Arial"/>
        </w:rPr>
        <w:t>kod</w:t>
      </w:r>
      <w:r w:rsidRPr="0002753A">
        <w:rPr>
          <w:rFonts w:ascii="Arial" w:hAnsi="Arial" w:cs="Arial"/>
          <w:spacing w:val="1"/>
        </w:rPr>
        <w:t xml:space="preserve"> </w:t>
      </w:r>
      <w:r w:rsidRPr="0002753A">
        <w:rPr>
          <w:rFonts w:ascii="Arial" w:hAnsi="Arial" w:cs="Arial"/>
        </w:rPr>
        <w:t>Hrvatske</w:t>
      </w:r>
      <w:r w:rsidRPr="0002753A">
        <w:rPr>
          <w:rFonts w:ascii="Arial" w:hAnsi="Arial" w:cs="Arial"/>
          <w:spacing w:val="-1"/>
        </w:rPr>
        <w:t xml:space="preserve"> </w:t>
      </w:r>
      <w:r w:rsidRPr="0002753A">
        <w:rPr>
          <w:rFonts w:ascii="Arial" w:hAnsi="Arial" w:cs="Arial"/>
        </w:rPr>
        <w:t>banke</w:t>
      </w:r>
      <w:r w:rsidRPr="0002753A">
        <w:rPr>
          <w:rFonts w:ascii="Arial" w:hAnsi="Arial" w:cs="Arial"/>
          <w:spacing w:val="-4"/>
        </w:rPr>
        <w:t xml:space="preserve"> </w:t>
      </w:r>
      <w:r w:rsidRPr="0002753A">
        <w:rPr>
          <w:rFonts w:ascii="Arial" w:hAnsi="Arial" w:cs="Arial"/>
        </w:rPr>
        <w:t>za obnovu</w:t>
      </w:r>
      <w:r w:rsidRPr="0002753A">
        <w:rPr>
          <w:rFonts w:ascii="Arial" w:hAnsi="Arial" w:cs="Arial"/>
          <w:spacing w:val="-1"/>
        </w:rPr>
        <w:t xml:space="preserve"> </w:t>
      </w:r>
      <w:r w:rsidRPr="0002753A">
        <w:rPr>
          <w:rFonts w:ascii="Arial" w:hAnsi="Arial" w:cs="Arial"/>
        </w:rPr>
        <w:t>i</w:t>
      </w:r>
      <w:r w:rsidRPr="0002753A">
        <w:rPr>
          <w:rFonts w:ascii="Arial" w:hAnsi="Arial" w:cs="Arial"/>
          <w:spacing w:val="-2"/>
        </w:rPr>
        <w:t xml:space="preserve"> </w:t>
      </w:r>
      <w:r w:rsidRPr="0002753A">
        <w:rPr>
          <w:rFonts w:ascii="Arial" w:hAnsi="Arial" w:cs="Arial"/>
        </w:rPr>
        <w:t>razvitak</w:t>
      </w:r>
      <w:r w:rsidRPr="0002753A">
        <w:rPr>
          <w:rFonts w:ascii="Arial" w:hAnsi="Arial" w:cs="Arial"/>
          <w:spacing w:val="3"/>
        </w:rPr>
        <w:t xml:space="preserve"> </w:t>
      </w:r>
      <w:r w:rsidR="00C162C1" w:rsidRPr="0002753A">
        <w:rPr>
          <w:rFonts w:ascii="Arial" w:hAnsi="Arial" w:cs="Arial"/>
          <w:spacing w:val="3"/>
        </w:rPr>
        <w:t xml:space="preserve">do </w:t>
      </w:r>
      <w:r w:rsidRPr="0002753A">
        <w:rPr>
          <w:rFonts w:ascii="Arial" w:hAnsi="Arial" w:cs="Arial"/>
        </w:rPr>
        <w:t>iznos</w:t>
      </w:r>
      <w:r w:rsidR="00C162C1" w:rsidRPr="0002753A">
        <w:rPr>
          <w:rFonts w:ascii="Arial" w:hAnsi="Arial" w:cs="Arial"/>
        </w:rPr>
        <w:t>a</w:t>
      </w:r>
      <w:r w:rsidRPr="0002753A">
        <w:rPr>
          <w:rFonts w:ascii="Arial" w:hAnsi="Arial" w:cs="Arial"/>
          <w:spacing w:val="-2"/>
        </w:rPr>
        <w:t xml:space="preserve"> </w:t>
      </w:r>
      <w:r w:rsidRPr="0002753A">
        <w:rPr>
          <w:rFonts w:ascii="Arial" w:hAnsi="Arial" w:cs="Arial"/>
        </w:rPr>
        <w:t>od</w:t>
      </w:r>
      <w:r w:rsidRPr="0002753A">
        <w:rPr>
          <w:rFonts w:ascii="Arial" w:hAnsi="Arial" w:cs="Arial"/>
          <w:spacing w:val="1"/>
        </w:rPr>
        <w:t xml:space="preserve"> </w:t>
      </w:r>
      <w:r w:rsidR="006920FE" w:rsidRPr="0002753A">
        <w:rPr>
          <w:rFonts w:ascii="Arial" w:hAnsi="Arial" w:cs="Arial"/>
          <w:spacing w:val="1"/>
        </w:rPr>
        <w:t>3.440.000,00</w:t>
      </w:r>
      <w:r w:rsidRPr="0002753A">
        <w:rPr>
          <w:rFonts w:ascii="Arial" w:hAnsi="Arial" w:cs="Arial"/>
        </w:rPr>
        <w:t xml:space="preserve"> </w:t>
      </w:r>
      <w:r w:rsidR="002F4441">
        <w:rPr>
          <w:rFonts w:ascii="Arial" w:hAnsi="Arial" w:cs="Arial"/>
        </w:rPr>
        <w:t>eura</w:t>
      </w:r>
      <w:r w:rsidR="006920FE" w:rsidRPr="0002753A">
        <w:rPr>
          <w:rFonts w:ascii="Arial" w:hAnsi="Arial" w:cs="Arial"/>
        </w:rPr>
        <w:t xml:space="preserve"> za financiranje realizacije kapitalnog projekta  Športsko</w:t>
      </w:r>
      <w:r w:rsidR="00560AB4">
        <w:rPr>
          <w:rFonts w:ascii="Arial" w:hAnsi="Arial" w:cs="Arial"/>
        </w:rPr>
        <w:t xml:space="preserve"> </w:t>
      </w:r>
      <w:r w:rsidR="006920FE" w:rsidRPr="0002753A">
        <w:rPr>
          <w:rFonts w:ascii="Arial" w:hAnsi="Arial" w:cs="Arial"/>
        </w:rPr>
        <w:t>- rekreacijsk</w:t>
      </w:r>
      <w:r w:rsidR="00E430D7" w:rsidRPr="0002753A">
        <w:rPr>
          <w:rFonts w:ascii="Arial" w:hAnsi="Arial" w:cs="Arial"/>
        </w:rPr>
        <w:t>i</w:t>
      </w:r>
      <w:r w:rsidR="006920FE" w:rsidRPr="0002753A">
        <w:rPr>
          <w:rFonts w:ascii="Arial" w:hAnsi="Arial" w:cs="Arial"/>
        </w:rPr>
        <w:t xml:space="preserve"> cent</w:t>
      </w:r>
      <w:r w:rsidR="00E430D7" w:rsidRPr="0002753A">
        <w:rPr>
          <w:rFonts w:ascii="Arial" w:hAnsi="Arial" w:cs="Arial"/>
        </w:rPr>
        <w:t>a</w:t>
      </w:r>
      <w:r w:rsidR="006920FE" w:rsidRPr="0002753A">
        <w:rPr>
          <w:rFonts w:ascii="Arial" w:hAnsi="Arial" w:cs="Arial"/>
        </w:rPr>
        <w:t>r „Dobra“</w:t>
      </w:r>
      <w:r w:rsidR="00560AB4">
        <w:rPr>
          <w:rFonts w:ascii="Arial" w:hAnsi="Arial" w:cs="Arial"/>
        </w:rPr>
        <w:t xml:space="preserve"> </w:t>
      </w:r>
      <w:r w:rsidR="00C162C1" w:rsidRPr="0002753A">
        <w:rPr>
          <w:rFonts w:ascii="Arial" w:hAnsi="Arial" w:cs="Arial"/>
        </w:rPr>
        <w:t xml:space="preserve">- </w:t>
      </w:r>
      <w:r w:rsidR="006920FE" w:rsidRPr="0002753A">
        <w:rPr>
          <w:rFonts w:ascii="Arial" w:hAnsi="Arial" w:cs="Arial"/>
        </w:rPr>
        <w:t>K101365.</w:t>
      </w:r>
    </w:p>
    <w:p w14:paraId="05DCFF97" w14:textId="77777777" w:rsidR="00C86DAE" w:rsidRPr="0002753A" w:rsidRDefault="00C86DAE" w:rsidP="006920FE">
      <w:pPr>
        <w:pStyle w:val="Tijeloteksta"/>
        <w:spacing w:before="12"/>
        <w:rPr>
          <w:rFonts w:ascii="Arial" w:hAnsi="Arial" w:cs="Arial"/>
          <w:sz w:val="22"/>
          <w:szCs w:val="22"/>
        </w:rPr>
      </w:pPr>
    </w:p>
    <w:p w14:paraId="0A460951" w14:textId="77777777" w:rsidR="00C86DAE" w:rsidRDefault="00844059" w:rsidP="006920FE">
      <w:pPr>
        <w:pStyle w:val="Tijeloteksta"/>
        <w:ind w:right="202"/>
        <w:jc w:val="center"/>
        <w:rPr>
          <w:rFonts w:ascii="Arial" w:hAnsi="Arial" w:cs="Arial"/>
          <w:sz w:val="22"/>
          <w:szCs w:val="22"/>
        </w:rPr>
      </w:pPr>
      <w:r w:rsidRPr="0002753A">
        <w:rPr>
          <w:rFonts w:ascii="Arial" w:hAnsi="Arial" w:cs="Arial"/>
          <w:sz w:val="22"/>
          <w:szCs w:val="22"/>
        </w:rPr>
        <w:t>Članak</w:t>
      </w:r>
      <w:r w:rsidRPr="0002753A">
        <w:rPr>
          <w:rFonts w:ascii="Arial" w:hAnsi="Arial" w:cs="Arial"/>
          <w:spacing w:val="-2"/>
          <w:sz w:val="22"/>
          <w:szCs w:val="22"/>
        </w:rPr>
        <w:t xml:space="preserve"> </w:t>
      </w:r>
      <w:r w:rsidRPr="0002753A">
        <w:rPr>
          <w:rFonts w:ascii="Arial" w:hAnsi="Arial" w:cs="Arial"/>
          <w:sz w:val="22"/>
          <w:szCs w:val="22"/>
        </w:rPr>
        <w:t>2.</w:t>
      </w:r>
    </w:p>
    <w:p w14:paraId="653072D6" w14:textId="77777777" w:rsidR="005B26B1" w:rsidRPr="0002753A" w:rsidRDefault="005B26B1" w:rsidP="006920FE">
      <w:pPr>
        <w:pStyle w:val="Tijeloteksta"/>
        <w:ind w:right="202"/>
        <w:jc w:val="center"/>
        <w:rPr>
          <w:rFonts w:ascii="Arial" w:hAnsi="Arial" w:cs="Arial"/>
          <w:sz w:val="22"/>
          <w:szCs w:val="22"/>
        </w:rPr>
      </w:pPr>
    </w:p>
    <w:p w14:paraId="3BE02A83" w14:textId="77777777" w:rsidR="00C86DAE" w:rsidRPr="0002753A" w:rsidRDefault="006920FE" w:rsidP="005B26B1">
      <w:pPr>
        <w:ind w:firstLine="1134"/>
        <w:rPr>
          <w:rFonts w:ascii="Arial" w:hAnsi="Arial" w:cs="Arial"/>
        </w:rPr>
      </w:pPr>
      <w:r w:rsidRPr="0002753A">
        <w:rPr>
          <w:rFonts w:ascii="Arial" w:hAnsi="Arial" w:cs="Arial"/>
        </w:rPr>
        <w:t>Općina Netretić će se zadužiti po</w:t>
      </w:r>
      <w:r w:rsidRPr="0002753A">
        <w:rPr>
          <w:rFonts w:ascii="Arial" w:hAnsi="Arial" w:cs="Arial"/>
          <w:spacing w:val="-4"/>
        </w:rPr>
        <w:t xml:space="preserve"> </w:t>
      </w:r>
      <w:r w:rsidRPr="0002753A">
        <w:rPr>
          <w:rFonts w:ascii="Arial" w:hAnsi="Arial" w:cs="Arial"/>
        </w:rPr>
        <w:t>sljedećim</w:t>
      </w:r>
      <w:r w:rsidRPr="0002753A">
        <w:rPr>
          <w:rFonts w:ascii="Arial" w:hAnsi="Arial" w:cs="Arial"/>
          <w:spacing w:val="-2"/>
        </w:rPr>
        <w:t xml:space="preserve"> </w:t>
      </w:r>
      <w:r w:rsidRPr="0002753A">
        <w:rPr>
          <w:rFonts w:ascii="Arial" w:hAnsi="Arial" w:cs="Arial"/>
        </w:rPr>
        <w:t>uvjetima:</w:t>
      </w:r>
    </w:p>
    <w:p w14:paraId="21CBC560" w14:textId="77777777" w:rsidR="00A43CFE" w:rsidRPr="0002753A" w:rsidRDefault="00A43CFE" w:rsidP="006920FE">
      <w:pPr>
        <w:rPr>
          <w:rFonts w:ascii="Arial" w:hAnsi="Arial" w:cs="Arial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680"/>
        <w:gridCol w:w="5954"/>
      </w:tblGrid>
      <w:tr w:rsidR="00A43CFE" w:rsidRPr="0002753A" w14:paraId="5269143E" w14:textId="77777777" w:rsidTr="00A43CFE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FA8ED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Vrsta kredita: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56A6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Dugoročni kredit</w:t>
            </w:r>
          </w:p>
        </w:tc>
      </w:tr>
      <w:tr w:rsidR="00A43CFE" w:rsidRPr="0002753A" w14:paraId="67EC4C24" w14:textId="77777777" w:rsidTr="00A43CFE">
        <w:trPr>
          <w:trHeight w:val="6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64C5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 xml:space="preserve">Kreditor: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8FA9" w14:textId="3D016F62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lang w:eastAsia="hr-HR"/>
              </w:rPr>
            </w:pPr>
            <w:r w:rsidRPr="0002753A">
              <w:rPr>
                <w:rFonts w:ascii="Arial" w:eastAsia="Times New Roman" w:hAnsi="Arial" w:cs="Arial"/>
                <w:lang w:eastAsia="hr-HR"/>
              </w:rPr>
              <w:t>Hrvatska banka za obnovu i raz</w:t>
            </w:r>
            <w:r w:rsidR="002F4441">
              <w:rPr>
                <w:rFonts w:ascii="Arial" w:eastAsia="Times New Roman" w:hAnsi="Arial" w:cs="Arial"/>
                <w:lang w:eastAsia="hr-HR"/>
              </w:rPr>
              <w:t>vitak</w:t>
            </w:r>
            <w:r w:rsidRPr="0002753A">
              <w:rPr>
                <w:rFonts w:ascii="Arial" w:eastAsia="Times New Roman" w:hAnsi="Arial" w:cs="Arial"/>
                <w:lang w:eastAsia="hr-HR"/>
              </w:rPr>
              <w:t xml:space="preserve"> (HBOR)</w:t>
            </w:r>
            <w:r w:rsidR="00F32456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02753A">
              <w:rPr>
                <w:rFonts w:ascii="Arial" w:eastAsia="Times New Roman" w:hAnsi="Arial" w:cs="Arial"/>
                <w:lang w:eastAsia="hr-HR"/>
              </w:rPr>
              <w:t>- kreditiranje putem programa kreditiranja Urbani razvojni fond</w:t>
            </w:r>
          </w:p>
        </w:tc>
      </w:tr>
      <w:tr w:rsidR="00A43CFE" w:rsidRPr="0002753A" w14:paraId="3362BD7C" w14:textId="77777777" w:rsidTr="00A43CFE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E3C2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Iznos glavnice kredita: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6BC8" w14:textId="5DE43F03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lang w:eastAsia="hr-HR"/>
              </w:rPr>
            </w:pPr>
            <w:r w:rsidRPr="000D7822">
              <w:rPr>
                <w:rFonts w:ascii="Arial" w:eastAsia="Times New Roman" w:hAnsi="Arial" w:cs="Arial"/>
                <w:lang w:eastAsia="hr-HR"/>
              </w:rPr>
              <w:t xml:space="preserve">3.440.000,00 </w:t>
            </w:r>
            <w:r w:rsidR="00336B7E" w:rsidRPr="000D7822">
              <w:rPr>
                <w:rFonts w:ascii="Arial" w:eastAsia="Times New Roman" w:hAnsi="Arial" w:cs="Arial"/>
                <w:lang w:eastAsia="hr-HR"/>
              </w:rPr>
              <w:t>eura</w:t>
            </w:r>
            <w:r w:rsidRPr="0002753A">
              <w:rPr>
                <w:rFonts w:ascii="Arial" w:eastAsia="Times New Roman" w:hAnsi="Arial" w:cs="Arial"/>
                <w:lang w:eastAsia="hr-HR"/>
              </w:rPr>
              <w:br/>
              <w:t xml:space="preserve">- 50% iz sredstava Europskog fonda za regionalni razvoj (EFRR) i </w:t>
            </w:r>
            <w:r w:rsidRPr="0002753A">
              <w:rPr>
                <w:rFonts w:ascii="Arial" w:eastAsia="Times New Roman" w:hAnsi="Arial" w:cs="Arial"/>
                <w:lang w:eastAsia="hr-HR"/>
              </w:rPr>
              <w:br/>
              <w:t>- 50% iz sredstava HBOR-a</w:t>
            </w:r>
          </w:p>
        </w:tc>
      </w:tr>
      <w:tr w:rsidR="00A43CFE" w:rsidRPr="0002753A" w14:paraId="41250B99" w14:textId="77777777" w:rsidTr="00A43CFE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121D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Namjena kredita: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DB18" w14:textId="63C9F96B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lang w:eastAsia="hr-HR"/>
              </w:rPr>
            </w:pPr>
            <w:r w:rsidRPr="000D7822">
              <w:rPr>
                <w:rFonts w:ascii="Arial" w:eastAsia="Times New Roman" w:hAnsi="Arial" w:cs="Arial"/>
                <w:lang w:eastAsia="hr-HR"/>
              </w:rPr>
              <w:t>Izgradnja i nadzor, te opremanje Športsko</w:t>
            </w:r>
            <w:r w:rsidR="003D0E0C" w:rsidRPr="000D7822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0D7822">
              <w:rPr>
                <w:rFonts w:ascii="Arial" w:eastAsia="Times New Roman" w:hAnsi="Arial" w:cs="Arial"/>
                <w:lang w:eastAsia="hr-HR"/>
              </w:rPr>
              <w:t>- rekreacijskog centra</w:t>
            </w:r>
            <w:r w:rsidR="000D7822" w:rsidRPr="000D7822">
              <w:rPr>
                <w:rFonts w:ascii="Arial" w:eastAsia="Times New Roman" w:hAnsi="Arial" w:cs="Arial"/>
                <w:lang w:eastAsia="hr-HR"/>
              </w:rPr>
              <w:t xml:space="preserve"> „Dobra“</w:t>
            </w:r>
          </w:p>
        </w:tc>
      </w:tr>
      <w:tr w:rsidR="00E430D7" w:rsidRPr="0002753A" w14:paraId="3BECF690" w14:textId="77777777" w:rsidTr="00A43CFE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CB4B" w14:textId="77777777" w:rsidR="00E430D7" w:rsidRPr="0002753A" w:rsidRDefault="00E430D7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Kapitalni rabat: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C67F" w14:textId="2FD42345" w:rsidR="00E430D7" w:rsidRPr="0002753A" w:rsidRDefault="00E430D7" w:rsidP="00A43CFE">
            <w:pPr>
              <w:widowControl/>
              <w:autoSpaceDE/>
              <w:autoSpaceDN/>
              <w:rPr>
                <w:rFonts w:ascii="Arial" w:eastAsia="Times New Roman" w:hAnsi="Arial" w:cs="Arial"/>
                <w:lang w:eastAsia="hr-HR"/>
              </w:rPr>
            </w:pPr>
            <w:r w:rsidRPr="0002753A">
              <w:rPr>
                <w:rFonts w:ascii="Arial" w:eastAsia="Times New Roman" w:hAnsi="Arial" w:cs="Arial"/>
                <w:lang w:eastAsia="hr-HR"/>
              </w:rPr>
              <w:t xml:space="preserve">Pravo na kapitalni rabat ostvaruje se po ispunjenju zadanih kriterija i može iznositi najviše do 50% ukupnog </w:t>
            </w:r>
            <w:r w:rsidR="002028D4">
              <w:rPr>
                <w:rFonts w:ascii="Arial" w:eastAsia="Times New Roman" w:hAnsi="Arial" w:cs="Arial"/>
                <w:lang w:eastAsia="hr-HR"/>
              </w:rPr>
              <w:t xml:space="preserve">iznosa </w:t>
            </w:r>
            <w:r w:rsidRPr="0002753A">
              <w:rPr>
                <w:rFonts w:ascii="Arial" w:eastAsia="Times New Roman" w:hAnsi="Arial" w:cs="Arial"/>
                <w:lang w:eastAsia="hr-HR"/>
              </w:rPr>
              <w:t>kredita, s tim da se za izračunati iznos kapitalnog rabata otpisuje dio glavnice kredita iz sredstava EFRR-a</w:t>
            </w:r>
          </w:p>
        </w:tc>
      </w:tr>
      <w:tr w:rsidR="00A43CFE" w:rsidRPr="0002753A" w14:paraId="2668C7B1" w14:textId="77777777" w:rsidTr="007D5E3C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D90B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Krajn</w:t>
            </w:r>
            <w:r w:rsidR="00E430D7" w:rsidRPr="0002753A">
              <w:rPr>
                <w:rFonts w:ascii="Arial" w:eastAsia="Times New Roman" w:hAnsi="Arial" w:cs="Arial"/>
                <w:color w:val="000000"/>
                <w:lang w:eastAsia="hr-HR"/>
              </w:rPr>
              <w:t>j</w:t>
            </w: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i rok korištenja kredita: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22F99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lang w:eastAsia="hr-HR"/>
              </w:rPr>
            </w:pPr>
            <w:r w:rsidRPr="0002753A">
              <w:rPr>
                <w:rFonts w:ascii="Arial" w:eastAsia="Times New Roman" w:hAnsi="Arial" w:cs="Arial"/>
                <w:lang w:eastAsia="hr-HR"/>
              </w:rPr>
              <w:t>31.07.2026. godine</w:t>
            </w:r>
          </w:p>
        </w:tc>
      </w:tr>
      <w:tr w:rsidR="00A43CFE" w:rsidRPr="0002753A" w14:paraId="5F5B8D04" w14:textId="77777777" w:rsidTr="007D5E3C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933D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Rok otplate glavnice kredita: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A5F01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lang w:eastAsia="hr-HR"/>
              </w:rPr>
            </w:pPr>
            <w:r w:rsidRPr="0002753A">
              <w:rPr>
                <w:rFonts w:ascii="Arial" w:eastAsia="Times New Roman" w:hAnsi="Arial" w:cs="Arial"/>
                <w:lang w:eastAsia="hr-HR"/>
              </w:rPr>
              <w:t>15 godina uključujući jednu godinu počeka</w:t>
            </w:r>
          </w:p>
        </w:tc>
      </w:tr>
      <w:tr w:rsidR="00A43CFE" w:rsidRPr="0002753A" w14:paraId="7560762D" w14:textId="77777777" w:rsidTr="007D5E3C">
        <w:trPr>
          <w:trHeight w:val="6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C29F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Rok i način otplate glavnice kredita: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2462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lang w:eastAsia="hr-HR"/>
              </w:rPr>
            </w:pPr>
            <w:r w:rsidRPr="0002753A">
              <w:rPr>
                <w:rFonts w:ascii="Arial" w:eastAsia="Times New Roman" w:hAnsi="Arial" w:cs="Arial"/>
                <w:lang w:eastAsia="hr-HR"/>
              </w:rPr>
              <w:t>28 jednakih uzastopnih polugodišnjih rata koje dospijevaju zadnjeg dana u mjesecu (prva rata dospijeva 29.02.2028. godine).</w:t>
            </w:r>
          </w:p>
        </w:tc>
      </w:tr>
      <w:tr w:rsidR="00A43CFE" w:rsidRPr="0002753A" w14:paraId="6C052C4C" w14:textId="77777777" w:rsidTr="00A43CFE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8D7E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Kamatna stopa na dio glavnice kredita iz sredstava EFRR-a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D90A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lang w:eastAsia="hr-HR"/>
              </w:rPr>
            </w:pPr>
            <w:r w:rsidRPr="0002753A">
              <w:rPr>
                <w:rFonts w:ascii="Arial" w:eastAsia="Times New Roman" w:hAnsi="Arial" w:cs="Arial"/>
                <w:lang w:eastAsia="hr-HR"/>
              </w:rPr>
              <w:t>0,00 % godišnje, fiksna</w:t>
            </w:r>
          </w:p>
        </w:tc>
      </w:tr>
      <w:tr w:rsidR="00A43CFE" w:rsidRPr="0002753A" w14:paraId="18AE75F5" w14:textId="77777777" w:rsidTr="00A43CFE">
        <w:trPr>
          <w:trHeight w:val="6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4D62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Kamatna stopa na dio glavnice kredita iz sredstava HBOR-a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6021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3,67 % godišnje, fiksna</w:t>
            </w:r>
          </w:p>
        </w:tc>
      </w:tr>
      <w:tr w:rsidR="00A43CFE" w:rsidRPr="0002753A" w14:paraId="143AF51B" w14:textId="77777777" w:rsidTr="00B00355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F2AB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Interkalarna</w:t>
            </w:r>
            <w:proofErr w:type="spellEnd"/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 xml:space="preserve"> kamata: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92F1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U razdoblju korištenja kredita na iskorišteni iznos kredita obračunava se kamata po metodi i u visini redovne. Kamate se obračunavaju i naplaćuju kvartalno</w:t>
            </w:r>
          </w:p>
        </w:tc>
      </w:tr>
      <w:tr w:rsidR="000D7822" w:rsidRPr="0002753A" w14:paraId="5E936CA0" w14:textId="77777777" w:rsidTr="00B00355">
        <w:trPr>
          <w:trHeight w:val="6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6366" w14:textId="35257B66" w:rsidR="000D7822" w:rsidRPr="0002753A" w:rsidRDefault="000D7822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Zatezna kamata: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FB52" w14:textId="4032E22A" w:rsidR="000D7822" w:rsidRPr="0002753A" w:rsidRDefault="000D7822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 skladu s važećom Odlukom o kamatnim stopama HBOR-a, promjenjiva.</w:t>
            </w:r>
          </w:p>
        </w:tc>
      </w:tr>
      <w:tr w:rsidR="00A43CFE" w:rsidRPr="0002753A" w14:paraId="0CF3014E" w14:textId="77777777" w:rsidTr="00B00355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C036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Naknada za obradu kredit</w:t>
            </w:r>
            <w:r w:rsidR="00E430D7" w:rsidRPr="0002753A">
              <w:rPr>
                <w:rFonts w:ascii="Arial" w:eastAsia="Times New Roman" w:hAnsi="Arial" w:cs="Arial"/>
                <w:color w:val="000000"/>
                <w:lang w:eastAsia="hr-HR"/>
              </w:rPr>
              <w:t>nog zahtjeva</w:t>
            </w: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A253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Ne naplaćuje se</w:t>
            </w:r>
          </w:p>
        </w:tc>
      </w:tr>
      <w:tr w:rsidR="00A43CFE" w:rsidRPr="0002753A" w14:paraId="266051AF" w14:textId="77777777" w:rsidTr="00A43CFE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B4D2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Naknada za rezervaciju sredstava: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D1ED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Ne naplaćuje se</w:t>
            </w:r>
          </w:p>
        </w:tc>
      </w:tr>
      <w:tr w:rsidR="00E430D7" w:rsidRPr="0002753A" w14:paraId="7D3E6489" w14:textId="77777777" w:rsidTr="00A43CFE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5F38" w14:textId="77777777" w:rsidR="00E430D7" w:rsidRPr="0002753A" w:rsidRDefault="00E430D7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 xml:space="preserve">Ostale naknade: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3CD78" w14:textId="77777777" w:rsidR="00E430D7" w:rsidRPr="0002753A" w:rsidRDefault="00E430D7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Naplaćuju se u skladu s Pravilnikom o naknadama za usluge koje obavlja HBOR, i to samo na dio glavnice kredita iz sredstava HBOR-a</w:t>
            </w:r>
          </w:p>
        </w:tc>
      </w:tr>
      <w:tr w:rsidR="00A43CFE" w:rsidRPr="0002753A" w14:paraId="78A89B3C" w14:textId="77777777" w:rsidTr="00A43CFE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C3FE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 xml:space="preserve">Instrumenti osiguranja kredita: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DA96" w14:textId="77777777" w:rsidR="00A43CFE" w:rsidRPr="0002753A" w:rsidRDefault="00A43CFE" w:rsidP="00A43CF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753A">
              <w:rPr>
                <w:rFonts w:ascii="Arial" w:eastAsia="Times New Roman" w:hAnsi="Arial" w:cs="Arial"/>
                <w:color w:val="000000"/>
                <w:lang w:eastAsia="hr-HR"/>
              </w:rPr>
              <w:t>Zadužnica Općine Netretić</w:t>
            </w:r>
          </w:p>
        </w:tc>
      </w:tr>
    </w:tbl>
    <w:p w14:paraId="7758389E" w14:textId="77777777" w:rsidR="00A43CFE" w:rsidRPr="0002753A" w:rsidRDefault="00A43CFE" w:rsidP="006920FE">
      <w:pPr>
        <w:rPr>
          <w:rFonts w:ascii="Arial" w:hAnsi="Arial" w:cs="Arial"/>
        </w:rPr>
      </w:pPr>
    </w:p>
    <w:p w14:paraId="0E80EDED" w14:textId="77777777" w:rsidR="006920FE" w:rsidRPr="0002753A" w:rsidRDefault="006920FE" w:rsidP="006920FE">
      <w:pPr>
        <w:rPr>
          <w:rFonts w:ascii="Arial" w:hAnsi="Arial" w:cs="Arial"/>
        </w:rPr>
      </w:pPr>
    </w:p>
    <w:p w14:paraId="03345F90" w14:textId="77777777" w:rsidR="00C86DAE" w:rsidRDefault="00844059" w:rsidP="00527FC3">
      <w:pPr>
        <w:pStyle w:val="Tijeloteksta"/>
        <w:ind w:right="202"/>
        <w:jc w:val="center"/>
        <w:rPr>
          <w:rFonts w:ascii="Arial" w:hAnsi="Arial" w:cs="Arial"/>
          <w:sz w:val="22"/>
          <w:szCs w:val="22"/>
        </w:rPr>
      </w:pPr>
      <w:r w:rsidRPr="0002753A">
        <w:rPr>
          <w:rFonts w:ascii="Arial" w:hAnsi="Arial" w:cs="Arial"/>
          <w:sz w:val="22"/>
          <w:szCs w:val="22"/>
        </w:rPr>
        <w:t>Članak</w:t>
      </w:r>
      <w:r w:rsidRPr="0002753A">
        <w:rPr>
          <w:rFonts w:ascii="Arial" w:hAnsi="Arial" w:cs="Arial"/>
          <w:spacing w:val="-1"/>
          <w:sz w:val="22"/>
          <w:szCs w:val="22"/>
        </w:rPr>
        <w:t xml:space="preserve"> </w:t>
      </w:r>
      <w:r w:rsidR="00A43CFE" w:rsidRPr="0002753A">
        <w:rPr>
          <w:rFonts w:ascii="Arial" w:hAnsi="Arial" w:cs="Arial"/>
          <w:spacing w:val="-1"/>
          <w:sz w:val="22"/>
          <w:szCs w:val="22"/>
        </w:rPr>
        <w:t>3</w:t>
      </w:r>
      <w:r w:rsidRPr="0002753A">
        <w:rPr>
          <w:rFonts w:ascii="Arial" w:hAnsi="Arial" w:cs="Arial"/>
          <w:sz w:val="22"/>
          <w:szCs w:val="22"/>
        </w:rPr>
        <w:t>.</w:t>
      </w:r>
    </w:p>
    <w:p w14:paraId="293E2B58" w14:textId="77777777" w:rsidR="005B26B1" w:rsidRPr="0002753A" w:rsidRDefault="005B26B1">
      <w:pPr>
        <w:pStyle w:val="Tijeloteksta"/>
        <w:ind w:left="348" w:right="202"/>
        <w:jc w:val="center"/>
        <w:rPr>
          <w:rFonts w:ascii="Arial" w:hAnsi="Arial" w:cs="Arial"/>
          <w:sz w:val="22"/>
          <w:szCs w:val="22"/>
        </w:rPr>
      </w:pPr>
    </w:p>
    <w:p w14:paraId="0B42CF36" w14:textId="31E9FCCA" w:rsidR="00C86DAE" w:rsidRPr="0002753A" w:rsidRDefault="00A43CFE" w:rsidP="006F14AA">
      <w:pPr>
        <w:pStyle w:val="Tijeloteksta"/>
        <w:ind w:firstLine="113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2753A">
        <w:rPr>
          <w:rFonts w:ascii="Arial" w:hAnsi="Arial" w:cs="Arial"/>
          <w:b w:val="0"/>
          <w:bCs w:val="0"/>
          <w:sz w:val="22"/>
          <w:szCs w:val="22"/>
        </w:rPr>
        <w:t>Općina Netretić će s Hrvatskom bankom za obnovu i ra</w:t>
      </w:r>
      <w:r w:rsidR="000D7822">
        <w:rPr>
          <w:rFonts w:ascii="Arial" w:hAnsi="Arial" w:cs="Arial"/>
          <w:b w:val="0"/>
          <w:bCs w:val="0"/>
          <w:sz w:val="22"/>
          <w:szCs w:val="22"/>
        </w:rPr>
        <w:t>zvitak</w:t>
      </w:r>
      <w:r w:rsidRPr="0002753A">
        <w:rPr>
          <w:rFonts w:ascii="Arial" w:hAnsi="Arial" w:cs="Arial"/>
          <w:b w:val="0"/>
          <w:bCs w:val="0"/>
          <w:sz w:val="22"/>
          <w:szCs w:val="22"/>
        </w:rPr>
        <w:t xml:space="preserve"> sklopiti ugovor o kreditu pod uvjetima i</w:t>
      </w:r>
      <w:r w:rsidR="00852A0B" w:rsidRPr="0002753A">
        <w:rPr>
          <w:rFonts w:ascii="Arial" w:hAnsi="Arial" w:cs="Arial"/>
          <w:b w:val="0"/>
          <w:bCs w:val="0"/>
          <w:sz w:val="22"/>
          <w:szCs w:val="22"/>
        </w:rPr>
        <w:t>z</w:t>
      </w:r>
      <w:r w:rsidRPr="0002753A">
        <w:rPr>
          <w:rFonts w:ascii="Arial" w:hAnsi="Arial" w:cs="Arial"/>
          <w:b w:val="0"/>
          <w:bCs w:val="0"/>
          <w:sz w:val="22"/>
          <w:szCs w:val="22"/>
        </w:rPr>
        <w:t xml:space="preserve"> članka 2. ove Odluke, po dobivenoj suglasnosti sukladno odredbama članka 120. Zakona o proračunu</w:t>
      </w:r>
      <w:r w:rsidR="00527FC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27FC3" w:rsidRPr="00527FC3">
        <w:rPr>
          <w:rFonts w:ascii="Arial" w:hAnsi="Arial" w:cs="Arial"/>
          <w:b w:val="0"/>
          <w:bCs w:val="0"/>
          <w:sz w:val="22"/>
          <w:szCs w:val="22"/>
        </w:rPr>
        <w:t>(„Narodne novine“ broj 144/21)</w:t>
      </w:r>
      <w:r w:rsidR="00527FC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2753A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5ED6605" w14:textId="77777777" w:rsidR="00A43CFE" w:rsidRPr="0002753A" w:rsidRDefault="00A43CFE" w:rsidP="00E430D7">
      <w:pPr>
        <w:rPr>
          <w:rFonts w:ascii="Arial" w:hAnsi="Arial" w:cs="Arial"/>
        </w:rPr>
      </w:pPr>
    </w:p>
    <w:p w14:paraId="1F6F99D5" w14:textId="77777777" w:rsidR="00A43CFE" w:rsidRDefault="00A43CFE" w:rsidP="00E430D7">
      <w:pPr>
        <w:pStyle w:val="Tijeloteksta"/>
        <w:ind w:right="202"/>
        <w:jc w:val="center"/>
        <w:rPr>
          <w:rFonts w:ascii="Arial" w:hAnsi="Arial" w:cs="Arial"/>
          <w:sz w:val="22"/>
          <w:szCs w:val="22"/>
        </w:rPr>
      </w:pPr>
      <w:r w:rsidRPr="0002753A">
        <w:rPr>
          <w:rFonts w:ascii="Arial" w:hAnsi="Arial" w:cs="Arial"/>
          <w:sz w:val="22"/>
          <w:szCs w:val="22"/>
        </w:rPr>
        <w:t>Članak</w:t>
      </w:r>
      <w:r w:rsidRPr="0002753A">
        <w:rPr>
          <w:rFonts w:ascii="Arial" w:hAnsi="Arial" w:cs="Arial"/>
          <w:spacing w:val="-1"/>
          <w:sz w:val="22"/>
          <w:szCs w:val="22"/>
        </w:rPr>
        <w:t xml:space="preserve"> 4</w:t>
      </w:r>
      <w:r w:rsidRPr="0002753A">
        <w:rPr>
          <w:rFonts w:ascii="Arial" w:hAnsi="Arial" w:cs="Arial"/>
          <w:sz w:val="22"/>
          <w:szCs w:val="22"/>
        </w:rPr>
        <w:t>.</w:t>
      </w:r>
    </w:p>
    <w:p w14:paraId="4FEC4B9E" w14:textId="77777777" w:rsidR="00527FC3" w:rsidRPr="0002753A" w:rsidRDefault="00527FC3" w:rsidP="00E430D7">
      <w:pPr>
        <w:pStyle w:val="Tijeloteksta"/>
        <w:ind w:right="202"/>
        <w:jc w:val="center"/>
        <w:rPr>
          <w:rFonts w:ascii="Arial" w:hAnsi="Arial" w:cs="Arial"/>
          <w:sz w:val="22"/>
          <w:szCs w:val="22"/>
        </w:rPr>
      </w:pPr>
    </w:p>
    <w:p w14:paraId="176D5191" w14:textId="77777777" w:rsidR="00C86DAE" w:rsidRPr="0002753A" w:rsidRDefault="00844059" w:rsidP="00527FC3">
      <w:pPr>
        <w:ind w:firstLine="1134"/>
        <w:jc w:val="both"/>
        <w:rPr>
          <w:rFonts w:ascii="Arial" w:hAnsi="Arial" w:cs="Arial"/>
        </w:rPr>
      </w:pPr>
      <w:r w:rsidRPr="0002753A">
        <w:rPr>
          <w:rFonts w:ascii="Arial" w:hAnsi="Arial" w:cs="Arial"/>
        </w:rPr>
        <w:t>Ovlašćuje s</w:t>
      </w:r>
      <w:r w:rsidR="00A43CFE" w:rsidRPr="0002753A">
        <w:rPr>
          <w:rFonts w:ascii="Arial" w:hAnsi="Arial" w:cs="Arial"/>
        </w:rPr>
        <w:t xml:space="preserve">e Općinski načelnik Općine Netretić </w:t>
      </w:r>
      <w:r w:rsidRPr="0002753A">
        <w:rPr>
          <w:rFonts w:ascii="Arial" w:hAnsi="Arial" w:cs="Arial"/>
        </w:rPr>
        <w:t xml:space="preserve">za zaključivanje Ugovora </w:t>
      </w:r>
      <w:r w:rsidR="00A43CFE" w:rsidRPr="0002753A">
        <w:rPr>
          <w:rFonts w:ascii="Arial" w:hAnsi="Arial" w:cs="Arial"/>
        </w:rPr>
        <w:t>iz članka 3. ove Odluke</w:t>
      </w:r>
      <w:r w:rsidRPr="0002753A">
        <w:rPr>
          <w:rFonts w:ascii="Arial" w:hAnsi="Arial" w:cs="Arial"/>
        </w:rPr>
        <w:t>.</w:t>
      </w:r>
    </w:p>
    <w:p w14:paraId="1D4EF479" w14:textId="77777777" w:rsidR="00852A0B" w:rsidRPr="0002753A" w:rsidRDefault="00852A0B" w:rsidP="00E430D7">
      <w:pPr>
        <w:pStyle w:val="Tijeloteksta"/>
        <w:spacing w:before="11"/>
        <w:rPr>
          <w:rFonts w:ascii="Arial" w:hAnsi="Arial" w:cs="Arial"/>
          <w:b w:val="0"/>
          <w:sz w:val="22"/>
          <w:szCs w:val="22"/>
        </w:rPr>
      </w:pPr>
    </w:p>
    <w:p w14:paraId="79058F3C" w14:textId="77777777" w:rsidR="00C86DAE" w:rsidRDefault="00844059" w:rsidP="00E430D7">
      <w:pPr>
        <w:pStyle w:val="Tijeloteksta"/>
        <w:spacing w:before="1"/>
        <w:ind w:right="202"/>
        <w:jc w:val="center"/>
        <w:rPr>
          <w:rFonts w:ascii="Arial" w:hAnsi="Arial" w:cs="Arial"/>
          <w:sz w:val="22"/>
          <w:szCs w:val="22"/>
        </w:rPr>
      </w:pPr>
      <w:r w:rsidRPr="0002753A">
        <w:rPr>
          <w:rFonts w:ascii="Arial" w:hAnsi="Arial" w:cs="Arial"/>
          <w:sz w:val="22"/>
          <w:szCs w:val="22"/>
        </w:rPr>
        <w:t>Članak</w:t>
      </w:r>
      <w:r w:rsidRPr="0002753A">
        <w:rPr>
          <w:rFonts w:ascii="Arial" w:hAnsi="Arial" w:cs="Arial"/>
          <w:spacing w:val="-1"/>
          <w:sz w:val="22"/>
          <w:szCs w:val="22"/>
        </w:rPr>
        <w:t xml:space="preserve"> </w:t>
      </w:r>
      <w:r w:rsidRPr="0002753A">
        <w:rPr>
          <w:rFonts w:ascii="Arial" w:hAnsi="Arial" w:cs="Arial"/>
          <w:sz w:val="22"/>
          <w:szCs w:val="22"/>
        </w:rPr>
        <w:t>5.</w:t>
      </w:r>
    </w:p>
    <w:p w14:paraId="6C26C73C" w14:textId="77777777" w:rsidR="00527FC3" w:rsidRPr="0002753A" w:rsidRDefault="00527FC3" w:rsidP="00E430D7">
      <w:pPr>
        <w:pStyle w:val="Tijeloteksta"/>
        <w:spacing w:before="1"/>
        <w:ind w:right="202"/>
        <w:jc w:val="center"/>
        <w:rPr>
          <w:rFonts w:ascii="Arial" w:hAnsi="Arial" w:cs="Arial"/>
          <w:sz w:val="22"/>
          <w:szCs w:val="22"/>
        </w:rPr>
      </w:pPr>
    </w:p>
    <w:p w14:paraId="6554E35C" w14:textId="5B1D9F78" w:rsidR="00C86DAE" w:rsidRPr="0002753A" w:rsidRDefault="00844059" w:rsidP="00527FC3">
      <w:pPr>
        <w:ind w:firstLine="1134"/>
        <w:jc w:val="both"/>
        <w:rPr>
          <w:rFonts w:ascii="Arial" w:hAnsi="Arial" w:cs="Arial"/>
        </w:rPr>
      </w:pPr>
      <w:r w:rsidRPr="0002753A">
        <w:rPr>
          <w:rFonts w:ascii="Arial" w:hAnsi="Arial" w:cs="Arial"/>
        </w:rPr>
        <w:t xml:space="preserve">Ova Odluka stupa na snagu </w:t>
      </w:r>
      <w:r w:rsidR="00A43CFE" w:rsidRPr="0002753A">
        <w:rPr>
          <w:rFonts w:ascii="Arial" w:hAnsi="Arial" w:cs="Arial"/>
        </w:rPr>
        <w:t xml:space="preserve">osmog dana </w:t>
      </w:r>
      <w:r w:rsidRPr="0002753A">
        <w:rPr>
          <w:rFonts w:ascii="Arial" w:hAnsi="Arial" w:cs="Arial"/>
        </w:rPr>
        <w:t xml:space="preserve">od dana objave u </w:t>
      </w:r>
      <w:r w:rsidR="00A43CFE" w:rsidRPr="0002753A">
        <w:rPr>
          <w:rFonts w:ascii="Arial" w:hAnsi="Arial" w:cs="Arial"/>
        </w:rPr>
        <w:t>"</w:t>
      </w:r>
      <w:r w:rsidR="00527FC3">
        <w:rPr>
          <w:rFonts w:ascii="Arial" w:hAnsi="Arial" w:cs="Arial"/>
        </w:rPr>
        <w:t>Glasniku Općine Netretić“.</w:t>
      </w:r>
    </w:p>
    <w:p w14:paraId="04A3364A" w14:textId="77777777" w:rsidR="00C86DAE" w:rsidRPr="0002753A" w:rsidRDefault="00C86DAE" w:rsidP="00E430D7">
      <w:pPr>
        <w:pStyle w:val="Tijeloteksta"/>
        <w:rPr>
          <w:rFonts w:ascii="Arial" w:hAnsi="Arial" w:cs="Arial"/>
          <w:b w:val="0"/>
          <w:bCs w:val="0"/>
          <w:sz w:val="22"/>
          <w:szCs w:val="22"/>
        </w:rPr>
      </w:pPr>
    </w:p>
    <w:p w14:paraId="04665DA6" w14:textId="77777777" w:rsidR="00852A0B" w:rsidRPr="0002753A" w:rsidRDefault="00852A0B">
      <w:pPr>
        <w:pStyle w:val="Tijeloteksta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4700"/>
      </w:tblGrid>
      <w:tr w:rsidR="0004156D" w:rsidRPr="0004156D" w14:paraId="7452A962" w14:textId="77777777" w:rsidTr="000010FB">
        <w:trPr>
          <w:trHeight w:val="568"/>
        </w:trPr>
        <w:tc>
          <w:tcPr>
            <w:tcW w:w="4700" w:type="dxa"/>
            <w:hideMark/>
          </w:tcPr>
          <w:p w14:paraId="46F1DC1B" w14:textId="77777777" w:rsidR="0004156D" w:rsidRPr="0004156D" w:rsidRDefault="0004156D" w:rsidP="0004156D">
            <w:pPr>
              <w:widowControl/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  <w:hideMark/>
          </w:tcPr>
          <w:p w14:paraId="4795D911" w14:textId="77777777" w:rsidR="0004156D" w:rsidRPr="0004156D" w:rsidRDefault="0004156D" w:rsidP="0004156D">
            <w:pPr>
              <w:widowControl/>
              <w:tabs>
                <w:tab w:val="left" w:pos="1080"/>
              </w:tabs>
              <w:suppressAutoHyphens/>
              <w:autoSpaceDE/>
              <w:autoSpaceDN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04156D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5AB5322C" w14:textId="77777777" w:rsidR="0004156D" w:rsidRPr="0004156D" w:rsidRDefault="0004156D" w:rsidP="0004156D">
            <w:pPr>
              <w:widowControl/>
              <w:tabs>
                <w:tab w:val="left" w:pos="1080"/>
              </w:tabs>
              <w:suppressAutoHyphens/>
              <w:autoSpaceDE/>
              <w:autoSpaceDN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04156D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04156D" w:rsidRPr="0004156D" w14:paraId="6B7F4DF9" w14:textId="77777777" w:rsidTr="000010FB">
        <w:trPr>
          <w:trHeight w:val="891"/>
        </w:trPr>
        <w:tc>
          <w:tcPr>
            <w:tcW w:w="4700" w:type="dxa"/>
          </w:tcPr>
          <w:p w14:paraId="223907EB" w14:textId="77777777" w:rsidR="0004156D" w:rsidRPr="0004156D" w:rsidRDefault="0004156D" w:rsidP="0004156D">
            <w:pPr>
              <w:widowControl/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autoSpaceDE/>
              <w:autoSpaceDN/>
              <w:rPr>
                <w:rFonts w:ascii="Arial" w:eastAsia="Times New Roman" w:hAnsi="Arial" w:cs="Arial"/>
                <w:bCs/>
                <w:lang w:eastAsia="hr-HR"/>
              </w:rPr>
            </w:pPr>
            <w:r w:rsidRPr="0004156D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00F18AD5" w14:textId="7FE9A4DB" w:rsidR="0004156D" w:rsidRPr="0004156D" w:rsidRDefault="0004156D" w:rsidP="0004156D">
            <w:pPr>
              <w:widowControl/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04156D">
              <w:rPr>
                <w:rFonts w:ascii="Arial" w:eastAsia="Times New Roman" w:hAnsi="Arial" w:cs="Arial"/>
                <w:bCs/>
                <w:lang w:eastAsia="hr-HR"/>
              </w:rPr>
              <w:t>Ministarstvo financija, Katančićeva 5, Zagreb,</w:t>
            </w:r>
          </w:p>
          <w:p w14:paraId="4D67B34B" w14:textId="77777777" w:rsidR="0004156D" w:rsidRPr="0004156D" w:rsidRDefault="0004156D" w:rsidP="0004156D">
            <w:pPr>
              <w:widowControl/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E561AA4" w14:textId="77777777" w:rsidR="0004156D" w:rsidRPr="0004156D" w:rsidRDefault="0004156D" w:rsidP="0004156D">
            <w:pPr>
              <w:widowControl/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04156D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848D513" w14:textId="77777777" w:rsidR="0004156D" w:rsidRPr="0004156D" w:rsidRDefault="0004156D" w:rsidP="0004156D">
            <w:pPr>
              <w:widowControl/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4D232F64" w14:textId="77777777" w:rsidR="0004156D" w:rsidRPr="0004156D" w:rsidRDefault="0004156D" w:rsidP="0004156D">
            <w:pPr>
              <w:widowControl/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9DDE1F9" w14:textId="77777777" w:rsidR="0004156D" w:rsidRPr="0004156D" w:rsidRDefault="0004156D" w:rsidP="0004156D">
            <w:pPr>
              <w:widowControl/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032F4B6" w14:textId="77777777" w:rsidR="0004156D" w:rsidRPr="0004156D" w:rsidRDefault="0004156D" w:rsidP="0004156D">
            <w:pPr>
              <w:widowControl/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04156D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2DE2A922" w14:textId="77777777" w:rsidR="0004156D" w:rsidRPr="0004156D" w:rsidRDefault="0004156D" w:rsidP="0004156D">
            <w:pPr>
              <w:widowControl/>
              <w:tabs>
                <w:tab w:val="left" w:pos="1080"/>
              </w:tabs>
              <w:suppressAutoHyphens/>
              <w:autoSpaceDE/>
              <w:autoSpaceDN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</w:tbl>
    <w:p w14:paraId="5BB0A865" w14:textId="77777777" w:rsidR="00C86DAE" w:rsidRPr="0002753A" w:rsidRDefault="00C86DAE">
      <w:pPr>
        <w:pStyle w:val="Tijeloteksta"/>
        <w:rPr>
          <w:rFonts w:ascii="Arial" w:hAnsi="Arial" w:cs="Arial"/>
          <w:b w:val="0"/>
          <w:sz w:val="22"/>
          <w:szCs w:val="22"/>
        </w:rPr>
      </w:pPr>
    </w:p>
    <w:sectPr w:rsidR="00C86DAE" w:rsidRPr="0002753A" w:rsidSect="009E52FD">
      <w:headerReference w:type="default" r:id="rId9"/>
      <w:pgSz w:w="11910" w:h="16850"/>
      <w:pgMar w:top="1134" w:right="1100" w:bottom="1701" w:left="11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35EAE" w14:textId="77777777" w:rsidR="005718F0" w:rsidRDefault="005718F0" w:rsidP="00844059">
      <w:r>
        <w:separator/>
      </w:r>
    </w:p>
  </w:endnote>
  <w:endnote w:type="continuationSeparator" w:id="0">
    <w:p w14:paraId="1DB067FA" w14:textId="77777777" w:rsidR="005718F0" w:rsidRDefault="005718F0" w:rsidP="0084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F3E55" w14:textId="77777777" w:rsidR="005718F0" w:rsidRDefault="005718F0" w:rsidP="00844059">
      <w:r>
        <w:separator/>
      </w:r>
    </w:p>
  </w:footnote>
  <w:footnote w:type="continuationSeparator" w:id="0">
    <w:p w14:paraId="348C99E2" w14:textId="77777777" w:rsidR="005718F0" w:rsidRDefault="005718F0" w:rsidP="0084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4210895"/>
      <w:docPartObj>
        <w:docPartGallery w:val="Page Numbers (Top of Page)"/>
        <w:docPartUnique/>
      </w:docPartObj>
    </w:sdtPr>
    <w:sdtContent>
      <w:p w14:paraId="159FB884" w14:textId="34DD5582" w:rsidR="00844059" w:rsidRDefault="00844059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5B184" w14:textId="77777777" w:rsidR="00844059" w:rsidRDefault="008440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76D1D"/>
    <w:multiLevelType w:val="hybridMultilevel"/>
    <w:tmpl w:val="837CB63E"/>
    <w:lvl w:ilvl="0" w:tplc="0846A4F0">
      <w:numFmt w:val="bullet"/>
      <w:lvlText w:val="-"/>
      <w:lvlJc w:val="left"/>
      <w:pPr>
        <w:ind w:left="318" w:hanging="18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hr-HR" w:eastAsia="en-US" w:bidi="ar-SA"/>
      </w:rPr>
    </w:lvl>
    <w:lvl w:ilvl="1" w:tplc="05B0785C">
      <w:numFmt w:val="bullet"/>
      <w:lvlText w:val="•"/>
      <w:lvlJc w:val="left"/>
      <w:pPr>
        <w:ind w:left="1258" w:hanging="183"/>
      </w:pPr>
      <w:rPr>
        <w:rFonts w:hint="default"/>
        <w:lang w:val="hr-HR" w:eastAsia="en-US" w:bidi="ar-SA"/>
      </w:rPr>
    </w:lvl>
    <w:lvl w:ilvl="2" w:tplc="E4F06810">
      <w:numFmt w:val="bullet"/>
      <w:lvlText w:val="•"/>
      <w:lvlJc w:val="left"/>
      <w:pPr>
        <w:ind w:left="2197" w:hanging="183"/>
      </w:pPr>
      <w:rPr>
        <w:rFonts w:hint="default"/>
        <w:lang w:val="hr-HR" w:eastAsia="en-US" w:bidi="ar-SA"/>
      </w:rPr>
    </w:lvl>
    <w:lvl w:ilvl="3" w:tplc="BA74A2E2">
      <w:numFmt w:val="bullet"/>
      <w:lvlText w:val="•"/>
      <w:lvlJc w:val="left"/>
      <w:pPr>
        <w:ind w:left="3135" w:hanging="183"/>
      </w:pPr>
      <w:rPr>
        <w:rFonts w:hint="default"/>
        <w:lang w:val="hr-HR" w:eastAsia="en-US" w:bidi="ar-SA"/>
      </w:rPr>
    </w:lvl>
    <w:lvl w:ilvl="4" w:tplc="6504E016">
      <w:numFmt w:val="bullet"/>
      <w:lvlText w:val="•"/>
      <w:lvlJc w:val="left"/>
      <w:pPr>
        <w:ind w:left="4074" w:hanging="183"/>
      </w:pPr>
      <w:rPr>
        <w:rFonts w:hint="default"/>
        <w:lang w:val="hr-HR" w:eastAsia="en-US" w:bidi="ar-SA"/>
      </w:rPr>
    </w:lvl>
    <w:lvl w:ilvl="5" w:tplc="6A6AE386">
      <w:numFmt w:val="bullet"/>
      <w:lvlText w:val="•"/>
      <w:lvlJc w:val="left"/>
      <w:pPr>
        <w:ind w:left="5013" w:hanging="183"/>
      </w:pPr>
      <w:rPr>
        <w:rFonts w:hint="default"/>
        <w:lang w:val="hr-HR" w:eastAsia="en-US" w:bidi="ar-SA"/>
      </w:rPr>
    </w:lvl>
    <w:lvl w:ilvl="6" w:tplc="14AEB640">
      <w:numFmt w:val="bullet"/>
      <w:lvlText w:val="•"/>
      <w:lvlJc w:val="left"/>
      <w:pPr>
        <w:ind w:left="5951" w:hanging="183"/>
      </w:pPr>
      <w:rPr>
        <w:rFonts w:hint="default"/>
        <w:lang w:val="hr-HR" w:eastAsia="en-US" w:bidi="ar-SA"/>
      </w:rPr>
    </w:lvl>
    <w:lvl w:ilvl="7" w:tplc="4DA2D0F8">
      <w:numFmt w:val="bullet"/>
      <w:lvlText w:val="•"/>
      <w:lvlJc w:val="left"/>
      <w:pPr>
        <w:ind w:left="6890" w:hanging="183"/>
      </w:pPr>
      <w:rPr>
        <w:rFonts w:hint="default"/>
        <w:lang w:val="hr-HR" w:eastAsia="en-US" w:bidi="ar-SA"/>
      </w:rPr>
    </w:lvl>
    <w:lvl w:ilvl="8" w:tplc="49E658F8">
      <w:numFmt w:val="bullet"/>
      <w:lvlText w:val="•"/>
      <w:lvlJc w:val="left"/>
      <w:pPr>
        <w:ind w:left="7829" w:hanging="183"/>
      </w:pPr>
      <w:rPr>
        <w:rFonts w:hint="default"/>
        <w:lang w:val="hr-HR" w:eastAsia="en-US" w:bidi="ar-SA"/>
      </w:rPr>
    </w:lvl>
  </w:abstractNum>
  <w:abstractNum w:abstractNumId="1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5562C"/>
    <w:multiLevelType w:val="hybridMultilevel"/>
    <w:tmpl w:val="178816E4"/>
    <w:lvl w:ilvl="0" w:tplc="B0202782">
      <w:start w:val="1"/>
      <w:numFmt w:val="decimal"/>
      <w:lvlText w:val="%1."/>
      <w:lvlJc w:val="left"/>
      <w:pPr>
        <w:ind w:left="1398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hr-HR" w:eastAsia="en-US" w:bidi="ar-SA"/>
      </w:rPr>
    </w:lvl>
    <w:lvl w:ilvl="1" w:tplc="334C4958">
      <w:numFmt w:val="bullet"/>
      <w:lvlText w:val="•"/>
      <w:lvlJc w:val="left"/>
      <w:pPr>
        <w:ind w:left="2230" w:hanging="360"/>
      </w:pPr>
      <w:rPr>
        <w:rFonts w:hint="default"/>
        <w:lang w:val="hr-HR" w:eastAsia="en-US" w:bidi="ar-SA"/>
      </w:rPr>
    </w:lvl>
    <w:lvl w:ilvl="2" w:tplc="1E621332">
      <w:numFmt w:val="bullet"/>
      <w:lvlText w:val="•"/>
      <w:lvlJc w:val="left"/>
      <w:pPr>
        <w:ind w:left="3061" w:hanging="360"/>
      </w:pPr>
      <w:rPr>
        <w:rFonts w:hint="default"/>
        <w:lang w:val="hr-HR" w:eastAsia="en-US" w:bidi="ar-SA"/>
      </w:rPr>
    </w:lvl>
    <w:lvl w:ilvl="3" w:tplc="A81A65FA">
      <w:numFmt w:val="bullet"/>
      <w:lvlText w:val="•"/>
      <w:lvlJc w:val="left"/>
      <w:pPr>
        <w:ind w:left="3891" w:hanging="360"/>
      </w:pPr>
      <w:rPr>
        <w:rFonts w:hint="default"/>
        <w:lang w:val="hr-HR" w:eastAsia="en-US" w:bidi="ar-SA"/>
      </w:rPr>
    </w:lvl>
    <w:lvl w:ilvl="4" w:tplc="88BC34C4">
      <w:numFmt w:val="bullet"/>
      <w:lvlText w:val="•"/>
      <w:lvlJc w:val="left"/>
      <w:pPr>
        <w:ind w:left="4722" w:hanging="360"/>
      </w:pPr>
      <w:rPr>
        <w:rFonts w:hint="default"/>
        <w:lang w:val="hr-HR" w:eastAsia="en-US" w:bidi="ar-SA"/>
      </w:rPr>
    </w:lvl>
    <w:lvl w:ilvl="5" w:tplc="B40A8C10">
      <w:numFmt w:val="bullet"/>
      <w:lvlText w:val="•"/>
      <w:lvlJc w:val="left"/>
      <w:pPr>
        <w:ind w:left="5553" w:hanging="360"/>
      </w:pPr>
      <w:rPr>
        <w:rFonts w:hint="default"/>
        <w:lang w:val="hr-HR" w:eastAsia="en-US" w:bidi="ar-SA"/>
      </w:rPr>
    </w:lvl>
    <w:lvl w:ilvl="6" w:tplc="B21202F6">
      <w:numFmt w:val="bullet"/>
      <w:lvlText w:val="•"/>
      <w:lvlJc w:val="left"/>
      <w:pPr>
        <w:ind w:left="6383" w:hanging="360"/>
      </w:pPr>
      <w:rPr>
        <w:rFonts w:hint="default"/>
        <w:lang w:val="hr-HR" w:eastAsia="en-US" w:bidi="ar-SA"/>
      </w:rPr>
    </w:lvl>
    <w:lvl w:ilvl="7" w:tplc="E2B612E8">
      <w:numFmt w:val="bullet"/>
      <w:lvlText w:val="•"/>
      <w:lvlJc w:val="left"/>
      <w:pPr>
        <w:ind w:left="7214" w:hanging="360"/>
      </w:pPr>
      <w:rPr>
        <w:rFonts w:hint="default"/>
        <w:lang w:val="hr-HR" w:eastAsia="en-US" w:bidi="ar-SA"/>
      </w:rPr>
    </w:lvl>
    <w:lvl w:ilvl="8" w:tplc="8A42B056">
      <w:numFmt w:val="bullet"/>
      <w:lvlText w:val="•"/>
      <w:lvlJc w:val="left"/>
      <w:pPr>
        <w:ind w:left="8045" w:hanging="360"/>
      </w:pPr>
      <w:rPr>
        <w:rFonts w:hint="default"/>
        <w:lang w:val="hr-HR" w:eastAsia="en-US" w:bidi="ar-SA"/>
      </w:rPr>
    </w:lvl>
  </w:abstractNum>
  <w:num w:numId="1" w16cid:durableId="158811255">
    <w:abstractNumId w:val="2"/>
  </w:num>
  <w:num w:numId="2" w16cid:durableId="892622173">
    <w:abstractNumId w:val="0"/>
  </w:num>
  <w:num w:numId="3" w16cid:durableId="1823346007">
    <w:abstractNumId w:val="1"/>
  </w:num>
  <w:num w:numId="4" w16cid:durableId="1291547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AE"/>
    <w:rsid w:val="0002753A"/>
    <w:rsid w:val="0004156D"/>
    <w:rsid w:val="000853D5"/>
    <w:rsid w:val="000D7822"/>
    <w:rsid w:val="001332AE"/>
    <w:rsid w:val="001444C6"/>
    <w:rsid w:val="002028D4"/>
    <w:rsid w:val="002F4441"/>
    <w:rsid w:val="00336B7E"/>
    <w:rsid w:val="003D0E0C"/>
    <w:rsid w:val="00527FC3"/>
    <w:rsid w:val="00560AB4"/>
    <w:rsid w:val="005718F0"/>
    <w:rsid w:val="005746AF"/>
    <w:rsid w:val="005B26B1"/>
    <w:rsid w:val="00603136"/>
    <w:rsid w:val="006920FE"/>
    <w:rsid w:val="006C6EA3"/>
    <w:rsid w:val="006F14AA"/>
    <w:rsid w:val="007862ED"/>
    <w:rsid w:val="007D5E3C"/>
    <w:rsid w:val="00844059"/>
    <w:rsid w:val="00851173"/>
    <w:rsid w:val="00852A0B"/>
    <w:rsid w:val="008E5B5B"/>
    <w:rsid w:val="009E52FD"/>
    <w:rsid w:val="00A05415"/>
    <w:rsid w:val="00A42D4A"/>
    <w:rsid w:val="00A43CFE"/>
    <w:rsid w:val="00B00355"/>
    <w:rsid w:val="00C162C1"/>
    <w:rsid w:val="00C86DAE"/>
    <w:rsid w:val="00CD2E61"/>
    <w:rsid w:val="00D5134E"/>
    <w:rsid w:val="00E17431"/>
    <w:rsid w:val="00E430D7"/>
    <w:rsid w:val="00EC1136"/>
    <w:rsid w:val="00F32456"/>
    <w:rsid w:val="00F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5434"/>
  <w15:docId w15:val="{FBE3D246-C9DB-4113-8D74-83863AE2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276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customStyle="1" w:styleId="TijelotekstaChar">
    <w:name w:val="Tijelo teksta Char"/>
    <w:basedOn w:val="Zadanifontodlomka"/>
    <w:link w:val="Tijeloteksta"/>
    <w:uiPriority w:val="1"/>
    <w:rsid w:val="00A43CFE"/>
    <w:rPr>
      <w:rFonts w:ascii="Calibri" w:eastAsia="Calibri" w:hAnsi="Calibri" w:cs="Calibri"/>
      <w:b/>
      <w:bCs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4405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4059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4405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4059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7515-1CFB-46ED-8F5B-FCFDD474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N.W.A.</dc:creator>
  <cp:lastModifiedBy>Branka Vrcić</cp:lastModifiedBy>
  <cp:revision>27</cp:revision>
  <cp:lastPrinted>2024-07-29T16:22:00Z</cp:lastPrinted>
  <dcterms:created xsi:type="dcterms:W3CDTF">2024-07-23T15:17:00Z</dcterms:created>
  <dcterms:modified xsi:type="dcterms:W3CDTF">2024-08-12T06:53:00Z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</Properties>
</file>