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75254f394fe4ae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27425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NETRETIĆ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419.345,52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751.607,83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156.712,81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161.349,40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262.632,71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590.258,43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16.928,00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245.704,71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586.845,93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238,8</w:t>
            </w:r>
          </w:p>
        </w:tc>
      </w:tr>
    </w:tbl>
    <w:p>
      <w:pPr>
        <w:spacing w:before="0" w:after="0"/>
      </w:pPr>
    </w:p>
    <w:p>
      <w:r>
        <w:t xml:space="preserve">Višak prihoda/ primitaka tekuće godine iznosi 586.845,93 €, a sastoji se od:</w:t>
      </w:r>
    </w:p>
    <w:p>
      <w:r>
        <w:t xml:space="preserve">-Viška prihoda poslovanja u iznosu 590.258,43 €. Ovaj višak prihoda dobrim dijelom se odnosi na prihode iz Ministarstva regionalnog razvoja i fondova EU za sufinanciranje izgadnje dječjeg vrtića, za dio koji financira Općina Netretić. Rashodi za izgradnju dječjeg vrtića evidentirani su u prethodnim godinama, a prihodi za refundaciju evidentirani su u 2026. godini, što čini višak prihod u tekućem izvještajnom razdoblju. Uz navedeno, prihodi od poreza i fiskalnog izravnanja realiziraju se prema planiranoj dinamici, no rashodi koji će se financirati iz istih, realizirat će se u narednim periodima.</w:t>
      </w:r>
    </w:p>
    <w:p>
      <w:r>
        <w:t xml:space="preserve">-manjka prihoda od nefinancijske imovine u iznosu 3.412,50 €. Manjak je zbog činjenice da se rashodi za nabavu nefinancisjke imovine financiraju iz izvora koji se evidentiraju na prihodima poslovanja. Dio ovog manjka na kraju godine anulirat će se obveznom korekcijom poslovnog rezultata, a dio će se anulirati Odlukom o raspodjeli rezultata poslovanja.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276.521,12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374.697,22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r>
        <w:t xml:space="preserve">U 2026. godini značajno je povećanje prihoda od poreza. Ovo povećanje uzrokovano je povećanjem plaća, ali ukazuje na povećanje poslovne aktivnosti.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230.401,18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Velika razlika u realizaciji ovih prihoda u odnosu na isto izvještajno razdoblje prethodne godine gotovo u cjelosti se odnosi na evidentirane prihode u 2026. godini iz Ministarstva regionalnog razvoja za sufinanciranje izgradnje dječjeg vrtića, za dio koji je Općina Netretić financirala.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ovom odjeljku evidentiraju se rashodi za sufinanciranje rada Dječjeg vrtića Duga Resa jer je navedenom vrtiću Općina Netretić povjerila zgradu dječjeg vrtića i organizaciju rada dječjeg vrtića.  Budući u prvom kvartalu 2025. godine dječji vrtić u novoj zgradi nije radio, nije bilo ni rashoda koji bi bili sufinancirani od strane Općine Netretić.</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ovom odjeljku u 2025. godini evidentirana je izrada Strategije zelene urbane opreme, dok u 2026. godini nije bilo evidentiranih rashoda na ovom odjeljku.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VIŠAK PRIHODA (šifre X067-Y034)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245.704,71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586.845,93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238,8</w:t>
            </w:r>
          </w:p>
        </w:tc>
      </w:tr>
    </w:tbl>
    <w:p>
      <w:pPr>
        <w:spacing w:before="0" w:after="0"/>
      </w:pPr>
    </w:p>
    <w:p>
      <w:r>
        <w:t xml:space="preserve">Višak prihoda/ primitaka tekuće godine iznosi 586.845,93 €. Ovaj višak prihoda dobrim dijelom se odnosi na prihode iz Ministarstva regionalnog razvoja i fondova EU za sufinanciranje izgadnje dječjeg vrtića, za dio koji financira Općina Netretić. Rashodi za izgradnju dječjeg vrtića evidentirani su u prethodnim godinama, a prihodi za refundaciju evidentirani su u 2026. godini, što čini višak prihod u tekućem izvještajnom razdoblju. Uz navedeno, prihodi od poreza i fiskalnog izravnanja realiziraju se prema planiranoj dinamici, no rashodi koji će se financirati iz istih, realizirat će se u narednim periodima.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1.191.662,19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2.091.736,74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w:t>
            </w:r>
          </w:p>
        </w:tc>
      </w:tr>
    </w:tbl>
    <w:p>
      <w:pPr>
        <w:spacing w:before="0" w:after="0"/>
      </w:pPr>
    </w:p>
    <w:p>
      <w:r>
        <w:t xml:space="preserve">Ukupni višak prihoda i primitaka raspoloživ u sljedećem razdoblju iznosi 2.091.736,74 €. Ovaj višak prihoda/ primitaka čini višak prihoda iz prethodnih godina u iznosu 1.504.890,81 €, te viška prihoda tekuće godine u iznosu 586.845,93 €. Višak prihoda iz prethodnih godina, sukladno Odluci o višegodišnjem planu utroška viška prihoda, planira se utrošiti u izgradnju Sportsko- rekreacijskog centra Dobra, dok se višak prihoda iz tekuće godine namjerava utrošiti sukladno planu Proračuna za 2026. godinu.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145.104,54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Netretić svoje obveze izvršava u rokovima dospjeća.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Dospjela obveza odnosi se na odvjetničke usluge i ista će biti plaćena kada se ispune svi preduvjeti, dakle nije problem u likvidnosti.</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8f45553f58a4c7c" /></Relationships>
</file>